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6F3" w:rsidRDefault="0054425B">
      <w:pPr>
        <w:overflowPunct w:val="0"/>
        <w:autoSpaceDE w:val="0"/>
        <w:autoSpaceDN w:val="0"/>
        <w:adjustRightInd w:val="0"/>
        <w:jc w:val="center"/>
        <w:textAlignment w:val="baseline"/>
        <w:rPr>
          <w:rFonts w:ascii="EYInterstate Light" w:hAnsi="EYInterstate Light"/>
          <w:sz w:val="26"/>
          <w:szCs w:val="26"/>
          <w:lang w:eastAsia="en-US"/>
        </w:rPr>
      </w:pPr>
      <w:r>
        <w:rPr>
          <w:rFonts w:ascii="EYInterstate Light" w:hAnsi="EYInterstate Light"/>
          <w:sz w:val="26"/>
          <w:szCs w:val="26"/>
          <w:lang w:eastAsia="en-US"/>
        </w:rPr>
        <w:t xml:space="preserve">Аудиторское заключение </w:t>
      </w:r>
    </w:p>
    <w:p w:rsidR="00FD06F3" w:rsidRDefault="0054425B">
      <w:pPr>
        <w:overflowPunct w:val="0"/>
        <w:autoSpaceDE w:val="0"/>
        <w:autoSpaceDN w:val="0"/>
        <w:adjustRightInd w:val="0"/>
        <w:jc w:val="center"/>
        <w:textAlignment w:val="baseline"/>
        <w:rPr>
          <w:rFonts w:ascii="EYInterstate Light" w:hAnsi="EYInterstate Light"/>
          <w:sz w:val="26"/>
          <w:szCs w:val="26"/>
          <w:lang w:eastAsia="en-US"/>
        </w:rPr>
      </w:pPr>
      <w:r>
        <w:rPr>
          <w:rFonts w:ascii="EYInterstate Light" w:hAnsi="EYInterstate Light"/>
          <w:sz w:val="26"/>
          <w:szCs w:val="26"/>
          <w:lang w:eastAsia="en-US"/>
        </w:rPr>
        <w:t>независимого аудитора</w:t>
      </w:r>
      <w:r>
        <w:rPr>
          <w:rFonts w:ascii="EYInterstate Light" w:hAnsi="EYInterstate Light"/>
          <w:sz w:val="26"/>
          <w:szCs w:val="26"/>
          <w:lang w:eastAsia="en-US"/>
        </w:rPr>
        <w:br/>
        <w:t xml:space="preserve">о консолидированной финансовой отчетности </w:t>
      </w:r>
    </w:p>
    <w:p w:rsidR="00FD06F3" w:rsidRDefault="0054425B">
      <w:pPr>
        <w:overflowPunct w:val="0"/>
        <w:autoSpaceDE w:val="0"/>
        <w:autoSpaceDN w:val="0"/>
        <w:adjustRightInd w:val="0"/>
        <w:jc w:val="center"/>
        <w:textAlignment w:val="baseline"/>
        <w:rPr>
          <w:rFonts w:ascii="EYInterstate" w:hAnsi="EYInterstate"/>
          <w:sz w:val="26"/>
          <w:szCs w:val="26"/>
          <w:lang w:eastAsia="en-US"/>
        </w:rPr>
      </w:pPr>
      <w:r>
        <w:rPr>
          <w:rFonts w:ascii="EYInterstate" w:hAnsi="EYInterstate"/>
          <w:b/>
          <w:i/>
          <w:sz w:val="26"/>
          <w:szCs w:val="26"/>
          <w:lang w:eastAsia="en-US"/>
        </w:rPr>
        <w:t xml:space="preserve">ПАО «Московская кондитерская фабрика </w:t>
      </w:r>
      <w:r>
        <w:rPr>
          <w:rFonts w:ascii="EYInterstate" w:hAnsi="EYInterstate"/>
          <w:b/>
          <w:i/>
          <w:sz w:val="26"/>
          <w:szCs w:val="26"/>
          <w:lang w:eastAsia="en-US"/>
        </w:rPr>
        <w:br/>
        <w:t>«Красный Октябрь» и его дочерних организаций</w:t>
      </w:r>
    </w:p>
    <w:p w:rsidR="00FD06F3" w:rsidRDefault="0054425B">
      <w:pPr>
        <w:overflowPunct w:val="0"/>
        <w:autoSpaceDE w:val="0"/>
        <w:autoSpaceDN w:val="0"/>
        <w:adjustRightInd w:val="0"/>
        <w:jc w:val="center"/>
        <w:textAlignment w:val="baseline"/>
        <w:rPr>
          <w:rFonts w:ascii="EYInterstate Light" w:hAnsi="EYInterstate Light"/>
          <w:i/>
          <w:sz w:val="26"/>
          <w:szCs w:val="26"/>
          <w:lang w:eastAsia="en-US"/>
        </w:rPr>
      </w:pPr>
      <w:r>
        <w:rPr>
          <w:rFonts w:ascii="EYInterstate Light" w:hAnsi="EYInterstate Light"/>
          <w:sz w:val="26"/>
          <w:szCs w:val="26"/>
          <w:lang w:eastAsia="en-US"/>
        </w:rPr>
        <w:t xml:space="preserve">за год, </w:t>
      </w:r>
      <w:r>
        <w:rPr>
          <w:rFonts w:ascii="EYInterstate Light" w:hAnsi="EYInterstate Light"/>
          <w:sz w:val="26"/>
          <w:szCs w:val="26"/>
          <w:lang w:eastAsia="en-US"/>
        </w:rPr>
        <w:t>закончившийся 31 декабря 2017 г.</w:t>
      </w:r>
    </w:p>
    <w:p w:rsidR="00FD06F3" w:rsidRDefault="00FD06F3">
      <w:pPr>
        <w:overflowPunct w:val="0"/>
        <w:autoSpaceDE w:val="0"/>
        <w:autoSpaceDN w:val="0"/>
        <w:adjustRightInd w:val="0"/>
        <w:jc w:val="center"/>
        <w:textAlignment w:val="baseline"/>
        <w:rPr>
          <w:rFonts w:ascii="EYInterstate Light" w:hAnsi="EYInterstate Light"/>
          <w:i/>
          <w:sz w:val="18"/>
          <w:szCs w:val="18"/>
          <w:lang w:eastAsia="en-US"/>
        </w:rPr>
      </w:pPr>
    </w:p>
    <w:p w:rsidR="00FD06F3" w:rsidRDefault="0054425B">
      <w:pPr>
        <w:pStyle w:val="BodyText2"/>
        <w:spacing w:after="0" w:line="240" w:lineRule="auto"/>
        <w:jc w:val="center"/>
        <w:rPr>
          <w:i/>
          <w:szCs w:val="22"/>
        </w:rPr>
      </w:pPr>
      <w:r>
        <w:rPr>
          <w:i/>
          <w:szCs w:val="22"/>
          <w:lang w:eastAsia="en-US" w:bidi="ar-SA"/>
        </w:rPr>
        <w:t>Апрель 2018 г.</w:t>
      </w:r>
    </w:p>
    <w:p w:rsidR="00FD06F3" w:rsidRDefault="00FD06F3">
      <w:pPr>
        <w:jc w:val="center"/>
        <w:rPr>
          <w:rFonts w:ascii="EYInterstate Light" w:hAnsi="EYInterstate Light" w:cs="EYInterstate Light"/>
          <w:b/>
          <w:bCs/>
        </w:rPr>
        <w:sectPr w:rsidR="00FD06F3">
          <w:headerReference w:type="even" r:id="rId8"/>
          <w:headerReference w:type="default" r:id="rId9"/>
          <w:footerReference w:type="even" r:id="rId10"/>
          <w:footerReference w:type="default" r:id="rId11"/>
          <w:headerReference w:type="first" r:id="rId12"/>
          <w:footerReference w:type="first" r:id="rId13"/>
          <w:pgSz w:w="11907" w:h="16840" w:code="9"/>
          <w:pgMar w:top="1814" w:right="1814" w:bottom="12020" w:left="2552" w:header="720" w:footer="720" w:gutter="0"/>
          <w:cols w:space="720"/>
          <w:vAlign w:val="center"/>
        </w:sectPr>
      </w:pPr>
    </w:p>
    <w:tbl>
      <w:tblPr>
        <w:tblW w:w="9356" w:type="dxa"/>
        <w:jc w:val="center"/>
        <w:tblLayout w:type="fixed"/>
        <w:tblLook w:val="0000" w:firstRow="0" w:lastRow="0" w:firstColumn="0" w:lastColumn="0" w:noHBand="0" w:noVBand="0"/>
      </w:tblPr>
      <w:tblGrid>
        <w:gridCol w:w="851"/>
        <w:gridCol w:w="7615"/>
        <w:gridCol w:w="890"/>
      </w:tblGrid>
      <w:tr w:rsidR="00FD06F3">
        <w:trPr>
          <w:jc w:val="center"/>
        </w:trPr>
        <w:tc>
          <w:tcPr>
            <w:tcW w:w="8466" w:type="dxa"/>
            <w:gridSpan w:val="2"/>
            <w:tcBorders>
              <w:top w:val="single" w:sz="6" w:space="0" w:color="auto"/>
              <w:bottom w:val="single" w:sz="6" w:space="0" w:color="auto"/>
            </w:tcBorders>
          </w:tcPr>
          <w:p w:rsidR="00FD06F3" w:rsidRDefault="00FD06F3">
            <w:pPr>
              <w:ind w:right="6"/>
              <w:jc w:val="left"/>
              <w:rPr>
                <w:rFonts w:ascii="EYInterstate" w:hAnsi="EYInterstate"/>
                <w:b/>
                <w:sz w:val="26"/>
                <w:szCs w:val="24"/>
                <w:lang w:eastAsia="en-US"/>
              </w:rPr>
            </w:pPr>
          </w:p>
          <w:p w:rsidR="00FD06F3" w:rsidRDefault="0054425B">
            <w:pPr>
              <w:ind w:right="6"/>
              <w:jc w:val="center"/>
              <w:rPr>
                <w:rFonts w:ascii="EYInterstate" w:hAnsi="EYInterstate"/>
                <w:b/>
                <w:sz w:val="26"/>
                <w:szCs w:val="26"/>
                <w:lang w:eastAsia="en-US"/>
              </w:rPr>
            </w:pPr>
            <w:r>
              <w:rPr>
                <w:rFonts w:ascii="EYInterstate" w:hAnsi="EYInterstate"/>
                <w:b/>
                <w:sz w:val="26"/>
                <w:szCs w:val="26"/>
                <w:lang w:eastAsia="en-US"/>
              </w:rPr>
              <w:t>Содержание</w:t>
            </w:r>
          </w:p>
        </w:tc>
        <w:tc>
          <w:tcPr>
            <w:tcW w:w="890" w:type="dxa"/>
            <w:tcBorders>
              <w:top w:val="single" w:sz="6" w:space="0" w:color="auto"/>
              <w:bottom w:val="single" w:sz="6" w:space="0" w:color="auto"/>
            </w:tcBorders>
          </w:tcPr>
          <w:p w:rsidR="00FD06F3" w:rsidRDefault="00FD06F3">
            <w:pPr>
              <w:ind w:right="6"/>
              <w:jc w:val="right"/>
              <w:rPr>
                <w:rFonts w:ascii="EYInterstate" w:hAnsi="EYInterstate"/>
                <w:b/>
                <w:sz w:val="26"/>
                <w:szCs w:val="26"/>
                <w:lang w:eastAsia="en-US"/>
              </w:rPr>
            </w:pPr>
          </w:p>
          <w:p w:rsidR="00FD06F3" w:rsidRDefault="0054425B">
            <w:pPr>
              <w:ind w:right="6"/>
              <w:jc w:val="right"/>
              <w:rPr>
                <w:rFonts w:ascii="EYInterstate" w:hAnsi="EYInterstate"/>
                <w:sz w:val="26"/>
                <w:szCs w:val="26"/>
                <w:lang w:eastAsia="en-US"/>
              </w:rPr>
            </w:pPr>
            <w:r>
              <w:rPr>
                <w:rFonts w:ascii="EYInterstate" w:hAnsi="EYInterstate"/>
                <w:b/>
                <w:sz w:val="26"/>
                <w:szCs w:val="26"/>
                <w:lang w:eastAsia="en-US"/>
              </w:rPr>
              <w:t>Стр.</w:t>
            </w:r>
          </w:p>
        </w:tc>
      </w:tr>
      <w:tr w:rsidR="00FD06F3">
        <w:trPr>
          <w:jc w:val="center"/>
        </w:trPr>
        <w:tc>
          <w:tcPr>
            <w:tcW w:w="851" w:type="dxa"/>
          </w:tcPr>
          <w:p w:rsidR="00FD06F3" w:rsidRDefault="00FD06F3">
            <w:pPr>
              <w:spacing w:before="240"/>
              <w:ind w:right="6"/>
              <w:jc w:val="left"/>
              <w:rPr>
                <w:rFonts w:ascii="EYInterstate Light" w:hAnsi="EYInterstate Light"/>
                <w:bCs/>
                <w:sz w:val="22"/>
                <w:szCs w:val="24"/>
                <w:lang w:eastAsia="en-US"/>
              </w:rPr>
            </w:pPr>
          </w:p>
        </w:tc>
        <w:tc>
          <w:tcPr>
            <w:tcW w:w="7615" w:type="dxa"/>
          </w:tcPr>
          <w:p w:rsidR="00FD06F3" w:rsidRDefault="00FD06F3">
            <w:pPr>
              <w:ind w:right="6"/>
              <w:jc w:val="left"/>
              <w:rPr>
                <w:rFonts w:ascii="EYInterstate Light" w:hAnsi="EYInterstate Light"/>
                <w:bCs/>
                <w:sz w:val="22"/>
                <w:szCs w:val="24"/>
                <w:lang w:eastAsia="en-US"/>
              </w:rPr>
            </w:pPr>
          </w:p>
        </w:tc>
        <w:tc>
          <w:tcPr>
            <w:tcW w:w="890" w:type="dxa"/>
            <w:vAlign w:val="bottom"/>
          </w:tcPr>
          <w:p w:rsidR="00FD06F3" w:rsidRDefault="00FD06F3">
            <w:pPr>
              <w:spacing w:before="240"/>
              <w:ind w:right="6"/>
              <w:jc w:val="right"/>
              <w:rPr>
                <w:rFonts w:ascii="EYInterstate Light" w:hAnsi="EYInterstate Light"/>
                <w:sz w:val="22"/>
                <w:szCs w:val="24"/>
                <w:lang w:eastAsia="en-US"/>
              </w:rPr>
            </w:pPr>
          </w:p>
        </w:tc>
      </w:tr>
      <w:tr w:rsidR="00FD06F3">
        <w:trPr>
          <w:jc w:val="center"/>
        </w:trPr>
        <w:tc>
          <w:tcPr>
            <w:tcW w:w="851" w:type="dxa"/>
          </w:tcPr>
          <w:p w:rsidR="00FD06F3" w:rsidRDefault="00FD06F3">
            <w:pPr>
              <w:ind w:right="6"/>
              <w:jc w:val="left"/>
              <w:rPr>
                <w:rFonts w:ascii="EYInterstate Light" w:hAnsi="EYInterstate Light"/>
                <w:sz w:val="22"/>
                <w:szCs w:val="24"/>
                <w:lang w:eastAsia="en-US"/>
              </w:rPr>
            </w:pPr>
          </w:p>
        </w:tc>
        <w:tc>
          <w:tcPr>
            <w:tcW w:w="7615" w:type="dxa"/>
          </w:tcPr>
          <w:p w:rsidR="00FD06F3" w:rsidRDefault="00FD06F3">
            <w:pPr>
              <w:ind w:right="6"/>
              <w:jc w:val="left"/>
              <w:rPr>
                <w:rFonts w:ascii="EYInterstate Light" w:hAnsi="EYInterstate Light"/>
                <w:sz w:val="22"/>
                <w:szCs w:val="24"/>
                <w:lang w:eastAsia="en-US"/>
              </w:rPr>
            </w:pPr>
          </w:p>
        </w:tc>
        <w:tc>
          <w:tcPr>
            <w:tcW w:w="890" w:type="dxa"/>
            <w:vAlign w:val="bottom"/>
          </w:tcPr>
          <w:p w:rsidR="00FD06F3" w:rsidRDefault="00FD06F3">
            <w:pPr>
              <w:ind w:right="6"/>
              <w:jc w:val="right"/>
              <w:rPr>
                <w:rFonts w:ascii="EYInterstate Light" w:hAnsi="EYInterstate Light"/>
                <w:sz w:val="22"/>
                <w:szCs w:val="24"/>
                <w:lang w:eastAsia="en-US"/>
              </w:rPr>
            </w:pPr>
          </w:p>
        </w:tc>
      </w:tr>
      <w:tr w:rsidR="00FD06F3">
        <w:trPr>
          <w:jc w:val="center"/>
        </w:trPr>
        <w:tc>
          <w:tcPr>
            <w:tcW w:w="851" w:type="dxa"/>
          </w:tcPr>
          <w:p w:rsidR="00FD06F3" w:rsidRDefault="00FD06F3">
            <w:pPr>
              <w:ind w:right="6"/>
              <w:jc w:val="left"/>
              <w:rPr>
                <w:rFonts w:ascii="EYInterstate Light" w:hAnsi="EYInterstate Light"/>
                <w:sz w:val="22"/>
                <w:szCs w:val="24"/>
                <w:lang w:eastAsia="en-US"/>
              </w:rPr>
            </w:pPr>
          </w:p>
        </w:tc>
        <w:tc>
          <w:tcPr>
            <w:tcW w:w="7615" w:type="dxa"/>
          </w:tcPr>
          <w:p w:rsidR="00FD06F3" w:rsidRDefault="0054425B">
            <w:pPr>
              <w:ind w:left="34" w:right="6"/>
              <w:jc w:val="left"/>
              <w:rPr>
                <w:rFonts w:ascii="EYInterstate Light" w:hAnsi="EYInterstate Light"/>
                <w:sz w:val="22"/>
                <w:szCs w:val="24"/>
                <w:lang w:eastAsia="en-US"/>
              </w:rPr>
            </w:pPr>
            <w:r>
              <w:rPr>
                <w:rFonts w:ascii="EYInterstate Light" w:hAnsi="EYInterstate Light"/>
                <w:bCs/>
                <w:sz w:val="22"/>
                <w:szCs w:val="24"/>
                <w:lang w:eastAsia="en-US"/>
              </w:rPr>
              <w:t>Аудиторское заключение независимого аудитора</w:t>
            </w:r>
          </w:p>
        </w:tc>
        <w:tc>
          <w:tcPr>
            <w:tcW w:w="890" w:type="dxa"/>
            <w:vAlign w:val="bottom"/>
          </w:tcPr>
          <w:p w:rsidR="00FD06F3" w:rsidRDefault="0054425B">
            <w:pPr>
              <w:ind w:right="6"/>
              <w:jc w:val="right"/>
              <w:rPr>
                <w:rFonts w:ascii="EYInterstate Light" w:hAnsi="EYInterstate Light"/>
                <w:sz w:val="22"/>
                <w:szCs w:val="24"/>
                <w:lang w:eastAsia="en-US"/>
              </w:rPr>
            </w:pPr>
            <w:r>
              <w:rPr>
                <w:rFonts w:ascii="EYInterstate Light" w:hAnsi="EYInterstate Light"/>
                <w:sz w:val="22"/>
                <w:szCs w:val="24"/>
                <w:lang w:eastAsia="en-US"/>
              </w:rPr>
              <w:t>3</w:t>
            </w:r>
          </w:p>
        </w:tc>
      </w:tr>
      <w:tr w:rsidR="00FD06F3">
        <w:trPr>
          <w:jc w:val="center"/>
        </w:trPr>
        <w:tc>
          <w:tcPr>
            <w:tcW w:w="851" w:type="dxa"/>
          </w:tcPr>
          <w:p w:rsidR="00FD06F3" w:rsidRDefault="00FD06F3">
            <w:pPr>
              <w:ind w:right="6"/>
              <w:jc w:val="left"/>
              <w:rPr>
                <w:rFonts w:ascii="EYInterstate Light" w:hAnsi="EYInterstate Light"/>
                <w:sz w:val="22"/>
                <w:szCs w:val="22"/>
                <w:lang w:eastAsia="en-US"/>
              </w:rPr>
            </w:pPr>
          </w:p>
        </w:tc>
        <w:tc>
          <w:tcPr>
            <w:tcW w:w="7615" w:type="dxa"/>
          </w:tcPr>
          <w:p w:rsidR="00FD06F3" w:rsidRDefault="00FD06F3">
            <w:pPr>
              <w:ind w:left="34" w:right="6"/>
              <w:jc w:val="left"/>
              <w:rPr>
                <w:rFonts w:ascii="EYInterstate Light" w:hAnsi="EYInterstate Light"/>
                <w:sz w:val="22"/>
                <w:szCs w:val="22"/>
                <w:lang w:eastAsia="en-US"/>
              </w:rPr>
            </w:pPr>
          </w:p>
          <w:p w:rsidR="00FD06F3" w:rsidRDefault="0054425B">
            <w:pPr>
              <w:ind w:left="34" w:right="6"/>
              <w:jc w:val="left"/>
              <w:rPr>
                <w:rFonts w:ascii="EYInterstate Light" w:hAnsi="EYInterstate Light"/>
                <w:sz w:val="22"/>
                <w:szCs w:val="22"/>
                <w:lang w:eastAsia="en-US"/>
              </w:rPr>
            </w:pPr>
            <w:r>
              <w:rPr>
                <w:rFonts w:ascii="EYInterstate Light" w:hAnsi="EYInterstate Light"/>
                <w:sz w:val="22"/>
                <w:szCs w:val="22"/>
                <w:lang w:eastAsia="en-US"/>
              </w:rPr>
              <w:t>Приложения</w:t>
            </w:r>
          </w:p>
        </w:tc>
        <w:tc>
          <w:tcPr>
            <w:tcW w:w="890" w:type="dxa"/>
            <w:vAlign w:val="bottom"/>
          </w:tcPr>
          <w:p w:rsidR="00FD06F3" w:rsidRDefault="00FD06F3">
            <w:pPr>
              <w:ind w:right="6"/>
              <w:jc w:val="right"/>
              <w:rPr>
                <w:rFonts w:ascii="EYInterstate Light" w:hAnsi="EYInterstate Light"/>
                <w:sz w:val="22"/>
                <w:szCs w:val="22"/>
                <w:lang w:eastAsia="en-US"/>
              </w:rPr>
            </w:pPr>
          </w:p>
          <w:p w:rsidR="00FD06F3" w:rsidRDefault="00FD06F3">
            <w:pPr>
              <w:ind w:right="6"/>
              <w:jc w:val="right"/>
              <w:rPr>
                <w:rFonts w:ascii="EYInterstate Light" w:hAnsi="EYInterstate Light"/>
                <w:sz w:val="22"/>
                <w:szCs w:val="22"/>
                <w:lang w:eastAsia="en-US"/>
              </w:rPr>
            </w:pPr>
          </w:p>
          <w:p w:rsidR="00FD06F3" w:rsidRDefault="00FD06F3">
            <w:pPr>
              <w:ind w:right="6"/>
              <w:jc w:val="right"/>
              <w:rPr>
                <w:rFonts w:ascii="EYInterstate Light" w:hAnsi="EYInterstate Light"/>
                <w:sz w:val="22"/>
                <w:szCs w:val="22"/>
                <w:lang w:eastAsia="en-US"/>
              </w:rPr>
            </w:pPr>
          </w:p>
        </w:tc>
      </w:tr>
      <w:tr w:rsidR="00FD06F3">
        <w:trPr>
          <w:jc w:val="center"/>
        </w:trPr>
        <w:tc>
          <w:tcPr>
            <w:tcW w:w="851" w:type="dxa"/>
          </w:tcPr>
          <w:p w:rsidR="00FD06F3" w:rsidRDefault="00FD06F3">
            <w:pPr>
              <w:ind w:right="6"/>
              <w:jc w:val="left"/>
              <w:rPr>
                <w:rFonts w:ascii="EYInterstate Light" w:hAnsi="EYInterstate Light"/>
                <w:sz w:val="22"/>
                <w:szCs w:val="22"/>
                <w:lang w:eastAsia="en-US"/>
              </w:rPr>
            </w:pPr>
          </w:p>
        </w:tc>
        <w:tc>
          <w:tcPr>
            <w:tcW w:w="7615" w:type="dxa"/>
          </w:tcPr>
          <w:p w:rsidR="00FD06F3" w:rsidRDefault="0054425B">
            <w:pPr>
              <w:ind w:left="34" w:right="6"/>
              <w:jc w:val="left"/>
              <w:rPr>
                <w:rFonts w:ascii="EYInterstate Light" w:hAnsi="EYInterstate Light"/>
                <w:sz w:val="22"/>
                <w:szCs w:val="22"/>
                <w:lang w:eastAsia="en-US"/>
              </w:rPr>
            </w:pPr>
            <w:r>
              <w:rPr>
                <w:rFonts w:ascii="EYInterstate Light" w:hAnsi="EYInterstate Light"/>
                <w:sz w:val="22"/>
                <w:szCs w:val="22"/>
                <w:lang w:eastAsia="en-US"/>
              </w:rPr>
              <w:t>Консолидированный о</w:t>
            </w:r>
            <w:r>
              <w:rPr>
                <w:rFonts w:ascii="EYInterstate Light" w:hAnsi="EYInterstate Light" w:cs="Arial"/>
                <w:noProof/>
                <w:sz w:val="22"/>
                <w:szCs w:val="22"/>
                <w:lang w:eastAsia="en-US"/>
              </w:rPr>
              <w:t>тчет о финансовом положении</w:t>
            </w:r>
          </w:p>
        </w:tc>
        <w:tc>
          <w:tcPr>
            <w:tcW w:w="890" w:type="dxa"/>
            <w:vAlign w:val="bottom"/>
          </w:tcPr>
          <w:p w:rsidR="00FD06F3" w:rsidRDefault="0054425B">
            <w:pPr>
              <w:ind w:right="6"/>
              <w:jc w:val="right"/>
              <w:rPr>
                <w:rFonts w:ascii="EYInterstate Light" w:hAnsi="EYInterstate Light"/>
                <w:sz w:val="22"/>
                <w:szCs w:val="22"/>
                <w:lang w:val="en-US" w:eastAsia="en-US"/>
              </w:rPr>
            </w:pPr>
            <w:r>
              <w:rPr>
                <w:rFonts w:ascii="EYInterstate Light" w:hAnsi="EYInterstate Light"/>
                <w:sz w:val="22"/>
                <w:szCs w:val="22"/>
                <w:lang w:val="en-US" w:eastAsia="en-US"/>
              </w:rPr>
              <w:t>8</w:t>
            </w:r>
          </w:p>
        </w:tc>
      </w:tr>
      <w:tr w:rsidR="00FD06F3">
        <w:trPr>
          <w:jc w:val="center"/>
        </w:trPr>
        <w:tc>
          <w:tcPr>
            <w:tcW w:w="851" w:type="dxa"/>
          </w:tcPr>
          <w:p w:rsidR="00FD06F3" w:rsidRDefault="00FD06F3">
            <w:pPr>
              <w:ind w:right="6"/>
              <w:jc w:val="left"/>
              <w:rPr>
                <w:rFonts w:ascii="EYInterstate Light" w:hAnsi="EYInterstate Light"/>
                <w:sz w:val="22"/>
                <w:szCs w:val="22"/>
                <w:lang w:eastAsia="en-US"/>
              </w:rPr>
            </w:pPr>
          </w:p>
        </w:tc>
        <w:tc>
          <w:tcPr>
            <w:tcW w:w="7615" w:type="dxa"/>
          </w:tcPr>
          <w:p w:rsidR="00FD06F3" w:rsidRDefault="0054425B">
            <w:pPr>
              <w:ind w:left="34" w:right="6"/>
              <w:jc w:val="left"/>
              <w:rPr>
                <w:rFonts w:ascii="EYInterstate Light" w:hAnsi="EYInterstate Light"/>
                <w:sz w:val="22"/>
                <w:szCs w:val="22"/>
                <w:lang w:eastAsia="en-US"/>
              </w:rPr>
            </w:pPr>
            <w:r>
              <w:rPr>
                <w:rFonts w:ascii="EYInterstate Light" w:hAnsi="EYInterstate Light"/>
                <w:sz w:val="22"/>
                <w:szCs w:val="22"/>
                <w:lang w:eastAsia="en-US"/>
              </w:rPr>
              <w:t xml:space="preserve">Консолидированный </w:t>
            </w:r>
            <w:r>
              <w:rPr>
                <w:rFonts w:ascii="EYInterstate Light" w:hAnsi="EYInterstate Light" w:cs="Arial"/>
                <w:noProof/>
                <w:sz w:val="22"/>
                <w:szCs w:val="22"/>
                <w:lang w:eastAsia="en-US"/>
              </w:rPr>
              <w:t xml:space="preserve">отчет о совокупном </w:t>
            </w:r>
            <w:r>
              <w:rPr>
                <w:rFonts w:ascii="EYInterstate Light" w:hAnsi="EYInterstate Light" w:cs="Arial"/>
                <w:noProof/>
                <w:sz w:val="22"/>
                <w:szCs w:val="22"/>
                <w:lang w:eastAsia="en-US"/>
              </w:rPr>
              <w:t>доходе</w:t>
            </w:r>
          </w:p>
        </w:tc>
        <w:tc>
          <w:tcPr>
            <w:tcW w:w="890" w:type="dxa"/>
            <w:vAlign w:val="bottom"/>
          </w:tcPr>
          <w:p w:rsidR="00FD06F3" w:rsidRDefault="0054425B">
            <w:pPr>
              <w:ind w:right="6"/>
              <w:jc w:val="right"/>
              <w:rPr>
                <w:rFonts w:ascii="EYInterstate Light" w:hAnsi="EYInterstate Light"/>
                <w:sz w:val="22"/>
                <w:szCs w:val="22"/>
                <w:lang w:val="en-US" w:eastAsia="en-US"/>
              </w:rPr>
            </w:pPr>
            <w:r>
              <w:rPr>
                <w:rFonts w:ascii="EYInterstate Light" w:hAnsi="EYInterstate Light"/>
                <w:sz w:val="22"/>
                <w:szCs w:val="22"/>
                <w:lang w:val="en-US" w:eastAsia="en-US"/>
              </w:rPr>
              <w:t>9</w:t>
            </w:r>
          </w:p>
        </w:tc>
      </w:tr>
      <w:tr w:rsidR="00FD06F3">
        <w:trPr>
          <w:jc w:val="center"/>
        </w:trPr>
        <w:tc>
          <w:tcPr>
            <w:tcW w:w="851" w:type="dxa"/>
          </w:tcPr>
          <w:p w:rsidR="00FD06F3" w:rsidRDefault="00FD06F3">
            <w:pPr>
              <w:ind w:right="6"/>
              <w:jc w:val="left"/>
              <w:rPr>
                <w:rFonts w:ascii="EYInterstate Light" w:hAnsi="EYInterstate Light"/>
                <w:sz w:val="22"/>
                <w:szCs w:val="22"/>
                <w:lang w:eastAsia="en-US"/>
              </w:rPr>
            </w:pPr>
          </w:p>
        </w:tc>
        <w:tc>
          <w:tcPr>
            <w:tcW w:w="7615" w:type="dxa"/>
          </w:tcPr>
          <w:p w:rsidR="00FD06F3" w:rsidRDefault="0054425B">
            <w:pPr>
              <w:ind w:left="34" w:right="6"/>
              <w:jc w:val="left"/>
              <w:rPr>
                <w:rFonts w:ascii="EYInterstate Light" w:hAnsi="EYInterstate Light"/>
                <w:sz w:val="22"/>
                <w:szCs w:val="22"/>
                <w:lang w:eastAsia="en-US"/>
              </w:rPr>
            </w:pPr>
            <w:r>
              <w:rPr>
                <w:rFonts w:ascii="EYInterstate Light" w:hAnsi="EYInterstate Light"/>
                <w:sz w:val="22"/>
                <w:szCs w:val="22"/>
                <w:lang w:eastAsia="en-US"/>
              </w:rPr>
              <w:t xml:space="preserve">Консолидированный </w:t>
            </w:r>
            <w:r>
              <w:rPr>
                <w:rFonts w:ascii="EYInterstate Light" w:hAnsi="EYInterstate Light" w:cs="Arial"/>
                <w:noProof/>
                <w:sz w:val="22"/>
                <w:szCs w:val="22"/>
                <w:lang w:eastAsia="en-US"/>
              </w:rPr>
              <w:t>отчет о движении денежных средств</w:t>
            </w:r>
          </w:p>
        </w:tc>
        <w:tc>
          <w:tcPr>
            <w:tcW w:w="890" w:type="dxa"/>
            <w:vAlign w:val="bottom"/>
          </w:tcPr>
          <w:p w:rsidR="00FD06F3" w:rsidRDefault="0054425B">
            <w:pPr>
              <w:ind w:right="6"/>
              <w:jc w:val="right"/>
              <w:rPr>
                <w:rFonts w:ascii="EYInterstate Light" w:hAnsi="EYInterstate Light"/>
                <w:sz w:val="22"/>
                <w:szCs w:val="22"/>
                <w:lang w:val="en-US" w:eastAsia="en-US"/>
              </w:rPr>
            </w:pPr>
            <w:r>
              <w:rPr>
                <w:rFonts w:ascii="EYInterstate Light" w:hAnsi="EYInterstate Light"/>
                <w:sz w:val="22"/>
                <w:szCs w:val="22"/>
                <w:lang w:val="en-US" w:eastAsia="en-US"/>
              </w:rPr>
              <w:t>10</w:t>
            </w:r>
          </w:p>
        </w:tc>
      </w:tr>
      <w:tr w:rsidR="00FD06F3">
        <w:trPr>
          <w:jc w:val="center"/>
        </w:trPr>
        <w:tc>
          <w:tcPr>
            <w:tcW w:w="851" w:type="dxa"/>
          </w:tcPr>
          <w:p w:rsidR="00FD06F3" w:rsidRDefault="00FD06F3">
            <w:pPr>
              <w:ind w:right="6"/>
              <w:jc w:val="left"/>
              <w:rPr>
                <w:rFonts w:ascii="EYInterstate Light" w:hAnsi="EYInterstate Light"/>
                <w:sz w:val="22"/>
                <w:szCs w:val="22"/>
                <w:lang w:eastAsia="en-US"/>
              </w:rPr>
            </w:pPr>
          </w:p>
        </w:tc>
        <w:tc>
          <w:tcPr>
            <w:tcW w:w="7615" w:type="dxa"/>
          </w:tcPr>
          <w:p w:rsidR="00FD06F3" w:rsidRDefault="0054425B">
            <w:pPr>
              <w:ind w:left="34" w:right="6"/>
              <w:jc w:val="left"/>
              <w:rPr>
                <w:rFonts w:ascii="EYInterstate Light" w:hAnsi="EYInterstate Light"/>
                <w:sz w:val="22"/>
                <w:szCs w:val="22"/>
                <w:lang w:eastAsia="en-US"/>
              </w:rPr>
            </w:pPr>
            <w:r>
              <w:rPr>
                <w:rFonts w:ascii="EYInterstate Light" w:hAnsi="EYInterstate Light"/>
                <w:sz w:val="22"/>
                <w:szCs w:val="22"/>
                <w:lang w:eastAsia="en-US"/>
              </w:rPr>
              <w:t xml:space="preserve">Консолидированный </w:t>
            </w:r>
            <w:r>
              <w:rPr>
                <w:rFonts w:ascii="EYInterstate Light" w:hAnsi="EYInterstate Light" w:cs="Arial"/>
                <w:noProof/>
                <w:sz w:val="22"/>
                <w:szCs w:val="22"/>
                <w:lang w:eastAsia="en-US"/>
              </w:rPr>
              <w:t>отчет об изменениях капитала</w:t>
            </w:r>
          </w:p>
        </w:tc>
        <w:tc>
          <w:tcPr>
            <w:tcW w:w="890" w:type="dxa"/>
            <w:vAlign w:val="bottom"/>
          </w:tcPr>
          <w:p w:rsidR="00FD06F3" w:rsidRDefault="0054425B">
            <w:pPr>
              <w:ind w:right="6"/>
              <w:jc w:val="right"/>
              <w:rPr>
                <w:rFonts w:ascii="EYInterstate Light" w:hAnsi="EYInterstate Light"/>
                <w:sz w:val="22"/>
                <w:szCs w:val="22"/>
                <w:lang w:val="en-US" w:eastAsia="en-US"/>
              </w:rPr>
            </w:pPr>
            <w:r>
              <w:rPr>
                <w:rFonts w:ascii="EYInterstate Light" w:hAnsi="EYInterstate Light"/>
                <w:sz w:val="22"/>
                <w:szCs w:val="22"/>
                <w:lang w:val="en-US" w:eastAsia="en-US"/>
              </w:rPr>
              <w:t>11</w:t>
            </w:r>
          </w:p>
        </w:tc>
      </w:tr>
      <w:tr w:rsidR="00FD06F3">
        <w:trPr>
          <w:jc w:val="center"/>
        </w:trPr>
        <w:tc>
          <w:tcPr>
            <w:tcW w:w="851" w:type="dxa"/>
          </w:tcPr>
          <w:p w:rsidR="00FD06F3" w:rsidRDefault="00FD06F3">
            <w:pPr>
              <w:ind w:right="6"/>
              <w:jc w:val="left"/>
              <w:rPr>
                <w:rFonts w:ascii="EYInterstate Light" w:hAnsi="EYInterstate Light"/>
                <w:sz w:val="22"/>
                <w:szCs w:val="22"/>
                <w:lang w:eastAsia="en-US"/>
              </w:rPr>
            </w:pPr>
          </w:p>
        </w:tc>
        <w:tc>
          <w:tcPr>
            <w:tcW w:w="7615" w:type="dxa"/>
          </w:tcPr>
          <w:p w:rsidR="00FD06F3" w:rsidRDefault="00FD06F3">
            <w:pPr>
              <w:ind w:left="34" w:right="6"/>
              <w:jc w:val="left"/>
              <w:rPr>
                <w:rFonts w:ascii="EYInterstate Light" w:hAnsi="EYInterstate Light"/>
                <w:sz w:val="22"/>
                <w:szCs w:val="22"/>
                <w:lang w:eastAsia="en-US"/>
              </w:rPr>
            </w:pPr>
          </w:p>
        </w:tc>
        <w:tc>
          <w:tcPr>
            <w:tcW w:w="890" w:type="dxa"/>
            <w:vAlign w:val="bottom"/>
          </w:tcPr>
          <w:p w:rsidR="00FD06F3" w:rsidRDefault="00FD06F3">
            <w:pPr>
              <w:ind w:right="6"/>
              <w:jc w:val="right"/>
              <w:rPr>
                <w:rFonts w:ascii="EYInterstate Light" w:hAnsi="EYInterstate Light"/>
                <w:sz w:val="22"/>
                <w:szCs w:val="22"/>
                <w:lang w:eastAsia="en-US"/>
              </w:rPr>
            </w:pPr>
          </w:p>
        </w:tc>
      </w:tr>
      <w:tr w:rsidR="00FD06F3">
        <w:trPr>
          <w:jc w:val="center"/>
        </w:trPr>
        <w:tc>
          <w:tcPr>
            <w:tcW w:w="851" w:type="dxa"/>
          </w:tcPr>
          <w:p w:rsidR="00FD06F3" w:rsidRDefault="00FD06F3">
            <w:pPr>
              <w:ind w:right="6"/>
              <w:jc w:val="left"/>
              <w:rPr>
                <w:rFonts w:ascii="EYInterstate Light" w:hAnsi="EYInterstate Light"/>
                <w:sz w:val="22"/>
                <w:szCs w:val="22"/>
                <w:lang w:eastAsia="en-US"/>
              </w:rPr>
            </w:pPr>
          </w:p>
        </w:tc>
        <w:tc>
          <w:tcPr>
            <w:tcW w:w="7615" w:type="dxa"/>
          </w:tcPr>
          <w:p w:rsidR="00FD06F3" w:rsidRDefault="0054425B">
            <w:pPr>
              <w:ind w:left="34" w:right="6"/>
              <w:jc w:val="left"/>
              <w:rPr>
                <w:rFonts w:ascii="EYInterstate Light" w:hAnsi="EYInterstate Light"/>
                <w:sz w:val="22"/>
                <w:szCs w:val="22"/>
                <w:lang w:eastAsia="en-US"/>
              </w:rPr>
            </w:pPr>
            <w:r>
              <w:rPr>
                <w:rFonts w:ascii="EYInterstate Light" w:hAnsi="EYInterstate Light"/>
                <w:bCs/>
                <w:sz w:val="22"/>
                <w:szCs w:val="22"/>
                <w:lang w:eastAsia="en-US"/>
              </w:rPr>
              <w:t xml:space="preserve">Примечания к консолидированной финансовой отчетности </w:t>
            </w:r>
          </w:p>
        </w:tc>
        <w:tc>
          <w:tcPr>
            <w:tcW w:w="890" w:type="dxa"/>
            <w:vAlign w:val="bottom"/>
          </w:tcPr>
          <w:p w:rsidR="00FD06F3" w:rsidRDefault="00FD06F3">
            <w:pPr>
              <w:ind w:right="6"/>
              <w:jc w:val="right"/>
              <w:rPr>
                <w:rFonts w:ascii="EYInterstate Light" w:hAnsi="EYInterstate Light"/>
                <w:sz w:val="22"/>
                <w:szCs w:val="22"/>
                <w:lang w:eastAsia="en-US"/>
              </w:rPr>
            </w:pPr>
          </w:p>
        </w:tc>
      </w:tr>
    </w:tbl>
    <w:p w:rsidR="00FD06F3" w:rsidRDefault="0054425B">
      <w:pPr>
        <w:pStyle w:val="TOC1"/>
        <w:rPr>
          <w:rFonts w:asciiTheme="minorHAnsi" w:eastAsiaTheme="minorEastAsia" w:hAnsiTheme="minorHAnsi" w:cstheme="minorBidi"/>
          <w:lang w:val="en-US" w:eastAsia="en-US"/>
        </w:rPr>
      </w:pPr>
      <w:r>
        <w:rPr>
          <w:b/>
          <w:bCs/>
        </w:rPr>
        <w:fldChar w:fldCharType="begin"/>
      </w:r>
      <w:r>
        <w:rPr>
          <w:b/>
          <w:bCs/>
        </w:rPr>
        <w:instrText xml:space="preserve"> TOC \h \z \t "_1;1" </w:instrText>
      </w:r>
      <w:r>
        <w:rPr>
          <w:b/>
          <w:bCs/>
        </w:rPr>
        <w:fldChar w:fldCharType="separate"/>
      </w:r>
      <w:hyperlink w:anchor="_Toc512452514" w:history="1">
        <w:r>
          <w:rPr>
            <w:rStyle w:val="Hyperlink"/>
          </w:rPr>
          <w:t>1.</w:t>
        </w:r>
        <w:r>
          <w:rPr>
            <w:rFonts w:asciiTheme="minorHAnsi" w:eastAsiaTheme="minorEastAsia" w:hAnsiTheme="minorHAnsi" w:cstheme="minorBidi"/>
            <w:lang w:val="en-US" w:eastAsia="en-US"/>
          </w:rPr>
          <w:tab/>
        </w:r>
        <w:r>
          <w:rPr>
            <w:rStyle w:val="Hyperlink"/>
          </w:rPr>
          <w:t>Общая информация</w:t>
        </w:r>
        <w:r>
          <w:rPr>
            <w:webHidden/>
          </w:rPr>
          <w:tab/>
        </w:r>
        <w:r>
          <w:rPr>
            <w:webHidden/>
          </w:rPr>
          <w:fldChar w:fldCharType="begin"/>
        </w:r>
        <w:r>
          <w:rPr>
            <w:webHidden/>
          </w:rPr>
          <w:instrText xml:space="preserve"> PAGEREF _Toc512452514 \h </w:instrText>
        </w:r>
        <w:r>
          <w:rPr>
            <w:webHidden/>
          </w:rPr>
        </w:r>
        <w:r>
          <w:rPr>
            <w:webHidden/>
          </w:rPr>
          <w:fldChar w:fldCharType="separate"/>
        </w:r>
        <w:r w:rsidR="00AF4415">
          <w:rPr>
            <w:webHidden/>
          </w:rPr>
          <w:t>12</w:t>
        </w:r>
        <w:r>
          <w:rPr>
            <w:webHidden/>
          </w:rPr>
          <w:fldChar w:fldCharType="end"/>
        </w:r>
      </w:hyperlink>
    </w:p>
    <w:p w:rsidR="00FD06F3" w:rsidRDefault="0054425B">
      <w:pPr>
        <w:pStyle w:val="TOC1"/>
        <w:rPr>
          <w:rFonts w:asciiTheme="minorHAnsi" w:eastAsiaTheme="minorEastAsia" w:hAnsiTheme="minorHAnsi" w:cstheme="minorBidi"/>
          <w:lang w:val="en-US" w:eastAsia="en-US"/>
        </w:rPr>
      </w:pPr>
      <w:hyperlink w:anchor="_Toc512452515" w:history="1">
        <w:r>
          <w:rPr>
            <w:rStyle w:val="Hyperlink"/>
          </w:rPr>
          <w:t>2.</w:t>
        </w:r>
        <w:r>
          <w:rPr>
            <w:rFonts w:asciiTheme="minorHAnsi" w:eastAsiaTheme="minorEastAsia" w:hAnsiTheme="minorHAnsi" w:cstheme="minorBidi"/>
            <w:lang w:val="en-US" w:eastAsia="en-US"/>
          </w:rPr>
          <w:tab/>
        </w:r>
        <w:r>
          <w:rPr>
            <w:rStyle w:val="Hyperlink"/>
          </w:rPr>
          <w:t>Основные положения учетной политики</w:t>
        </w:r>
        <w:r>
          <w:rPr>
            <w:webHidden/>
          </w:rPr>
          <w:tab/>
        </w:r>
        <w:r>
          <w:rPr>
            <w:webHidden/>
          </w:rPr>
          <w:fldChar w:fldCharType="begin"/>
        </w:r>
        <w:r>
          <w:rPr>
            <w:webHidden/>
          </w:rPr>
          <w:instrText xml:space="preserve"> PAGEREF _Toc512452515 \h </w:instrText>
        </w:r>
        <w:r>
          <w:rPr>
            <w:webHidden/>
          </w:rPr>
        </w:r>
        <w:r>
          <w:rPr>
            <w:webHidden/>
          </w:rPr>
          <w:fldChar w:fldCharType="separate"/>
        </w:r>
        <w:r w:rsidR="00AF4415">
          <w:rPr>
            <w:webHidden/>
          </w:rPr>
          <w:t>12</w:t>
        </w:r>
        <w:r>
          <w:rPr>
            <w:webHidden/>
          </w:rPr>
          <w:fldChar w:fldCharType="end"/>
        </w:r>
      </w:hyperlink>
    </w:p>
    <w:p w:rsidR="00FD06F3" w:rsidRDefault="0054425B">
      <w:pPr>
        <w:pStyle w:val="TOC1"/>
        <w:rPr>
          <w:rFonts w:asciiTheme="minorHAnsi" w:eastAsiaTheme="minorEastAsia" w:hAnsiTheme="minorHAnsi" w:cstheme="minorBidi"/>
          <w:lang w:val="en-US" w:eastAsia="en-US"/>
        </w:rPr>
      </w:pPr>
      <w:hyperlink w:anchor="_Toc512452516" w:history="1">
        <w:r>
          <w:rPr>
            <w:rStyle w:val="Hyperlink"/>
          </w:rPr>
          <w:t>3.</w:t>
        </w:r>
        <w:r>
          <w:rPr>
            <w:rFonts w:asciiTheme="minorHAnsi" w:eastAsiaTheme="minorEastAsia" w:hAnsiTheme="minorHAnsi" w:cstheme="minorBidi"/>
            <w:lang w:val="en-US" w:eastAsia="en-US"/>
          </w:rPr>
          <w:tab/>
        </w:r>
        <w:r>
          <w:rPr>
            <w:rStyle w:val="Hyperlink"/>
          </w:rPr>
          <w:t>Существенные учетные суждения и оценки</w:t>
        </w:r>
        <w:r>
          <w:rPr>
            <w:webHidden/>
          </w:rPr>
          <w:tab/>
        </w:r>
        <w:r>
          <w:rPr>
            <w:webHidden/>
          </w:rPr>
          <w:fldChar w:fldCharType="begin"/>
        </w:r>
        <w:r>
          <w:rPr>
            <w:webHidden/>
          </w:rPr>
          <w:instrText xml:space="preserve"> PAGEREF _Toc512452516 \h </w:instrText>
        </w:r>
        <w:r>
          <w:rPr>
            <w:webHidden/>
          </w:rPr>
        </w:r>
        <w:r>
          <w:rPr>
            <w:webHidden/>
          </w:rPr>
          <w:fldChar w:fldCharType="separate"/>
        </w:r>
        <w:r w:rsidR="00AF4415">
          <w:rPr>
            <w:webHidden/>
          </w:rPr>
          <w:t>26</w:t>
        </w:r>
        <w:r>
          <w:rPr>
            <w:webHidden/>
          </w:rPr>
          <w:fldChar w:fldCharType="end"/>
        </w:r>
      </w:hyperlink>
    </w:p>
    <w:p w:rsidR="00FD06F3" w:rsidRDefault="0054425B">
      <w:pPr>
        <w:pStyle w:val="TOC1"/>
        <w:rPr>
          <w:rFonts w:asciiTheme="minorHAnsi" w:eastAsiaTheme="minorEastAsia" w:hAnsiTheme="minorHAnsi" w:cstheme="minorBidi"/>
          <w:lang w:val="en-US" w:eastAsia="en-US"/>
        </w:rPr>
      </w:pPr>
      <w:hyperlink w:anchor="_Toc512452517" w:history="1">
        <w:r>
          <w:rPr>
            <w:rStyle w:val="Hyperlink"/>
          </w:rPr>
          <w:t>4.</w:t>
        </w:r>
        <w:r>
          <w:rPr>
            <w:rFonts w:asciiTheme="minorHAnsi" w:eastAsiaTheme="minorEastAsia" w:hAnsiTheme="minorHAnsi" w:cstheme="minorBidi"/>
            <w:lang w:val="en-US" w:eastAsia="en-US"/>
          </w:rPr>
          <w:tab/>
        </w:r>
        <w:r>
          <w:rPr>
            <w:rStyle w:val="Hyperlink"/>
          </w:rPr>
          <w:t>Инвестиционная недвижимость</w:t>
        </w:r>
        <w:r>
          <w:rPr>
            <w:webHidden/>
          </w:rPr>
          <w:tab/>
        </w:r>
        <w:r>
          <w:rPr>
            <w:webHidden/>
          </w:rPr>
          <w:fldChar w:fldCharType="begin"/>
        </w:r>
        <w:r>
          <w:rPr>
            <w:webHidden/>
          </w:rPr>
          <w:instrText xml:space="preserve"> PAGEREF _T</w:instrText>
        </w:r>
        <w:r>
          <w:rPr>
            <w:webHidden/>
          </w:rPr>
          <w:instrText xml:space="preserve">oc512452517 \h </w:instrText>
        </w:r>
        <w:r>
          <w:rPr>
            <w:webHidden/>
          </w:rPr>
        </w:r>
        <w:r>
          <w:rPr>
            <w:webHidden/>
          </w:rPr>
          <w:fldChar w:fldCharType="separate"/>
        </w:r>
        <w:r w:rsidR="00AF4415">
          <w:rPr>
            <w:webHidden/>
          </w:rPr>
          <w:t>27</w:t>
        </w:r>
        <w:r>
          <w:rPr>
            <w:webHidden/>
          </w:rPr>
          <w:fldChar w:fldCharType="end"/>
        </w:r>
      </w:hyperlink>
    </w:p>
    <w:p w:rsidR="00FD06F3" w:rsidRDefault="0054425B">
      <w:pPr>
        <w:pStyle w:val="TOC1"/>
        <w:rPr>
          <w:rFonts w:asciiTheme="minorHAnsi" w:eastAsiaTheme="minorEastAsia" w:hAnsiTheme="minorHAnsi" w:cstheme="minorBidi"/>
          <w:lang w:val="en-US" w:eastAsia="en-US"/>
        </w:rPr>
      </w:pPr>
      <w:hyperlink w:anchor="_Toc512452518" w:history="1">
        <w:r>
          <w:rPr>
            <w:rStyle w:val="Hyperlink"/>
          </w:rPr>
          <w:t xml:space="preserve">5. </w:t>
        </w:r>
        <w:r>
          <w:rPr>
            <w:rFonts w:asciiTheme="minorHAnsi" w:eastAsiaTheme="minorEastAsia" w:hAnsiTheme="minorHAnsi" w:cstheme="minorBidi"/>
            <w:lang w:val="en-US" w:eastAsia="en-US"/>
          </w:rPr>
          <w:tab/>
        </w:r>
        <w:r>
          <w:rPr>
            <w:rStyle w:val="Hyperlink"/>
          </w:rPr>
          <w:t>Инвестиции, предназначенные для продажи и инвестиции в ассоциированные компании</w:t>
        </w:r>
        <w:r>
          <w:rPr>
            <w:webHidden/>
          </w:rPr>
          <w:tab/>
        </w:r>
        <w:r>
          <w:rPr>
            <w:webHidden/>
          </w:rPr>
          <w:fldChar w:fldCharType="begin"/>
        </w:r>
        <w:r>
          <w:rPr>
            <w:webHidden/>
          </w:rPr>
          <w:instrText xml:space="preserve"> PAGEREF _Toc512452518 \h </w:instrText>
        </w:r>
        <w:r>
          <w:rPr>
            <w:webHidden/>
          </w:rPr>
        </w:r>
        <w:r>
          <w:rPr>
            <w:webHidden/>
          </w:rPr>
          <w:fldChar w:fldCharType="separate"/>
        </w:r>
        <w:r w:rsidR="00AF4415">
          <w:rPr>
            <w:webHidden/>
          </w:rPr>
          <w:t>27</w:t>
        </w:r>
        <w:r>
          <w:rPr>
            <w:webHidden/>
          </w:rPr>
          <w:fldChar w:fldCharType="end"/>
        </w:r>
      </w:hyperlink>
    </w:p>
    <w:p w:rsidR="00FD06F3" w:rsidRDefault="0054425B">
      <w:pPr>
        <w:pStyle w:val="TOC1"/>
        <w:rPr>
          <w:rFonts w:asciiTheme="minorHAnsi" w:eastAsiaTheme="minorEastAsia" w:hAnsiTheme="minorHAnsi" w:cstheme="minorBidi"/>
          <w:lang w:val="en-US" w:eastAsia="en-US"/>
        </w:rPr>
      </w:pPr>
      <w:hyperlink w:anchor="_Toc512452519" w:history="1">
        <w:r>
          <w:rPr>
            <w:rStyle w:val="Hyperlink"/>
          </w:rPr>
          <w:t>6.</w:t>
        </w:r>
        <w:r>
          <w:rPr>
            <w:rFonts w:asciiTheme="minorHAnsi" w:eastAsiaTheme="minorEastAsia" w:hAnsiTheme="minorHAnsi" w:cstheme="minorBidi"/>
            <w:lang w:val="en-US" w:eastAsia="en-US"/>
          </w:rPr>
          <w:tab/>
        </w:r>
        <w:r>
          <w:rPr>
            <w:rStyle w:val="Hyperlink"/>
          </w:rPr>
          <w:t>Основные средства</w:t>
        </w:r>
        <w:r>
          <w:rPr>
            <w:webHidden/>
          </w:rPr>
          <w:tab/>
        </w:r>
        <w:r>
          <w:rPr>
            <w:webHidden/>
          </w:rPr>
          <w:fldChar w:fldCharType="begin"/>
        </w:r>
        <w:r>
          <w:rPr>
            <w:webHidden/>
          </w:rPr>
          <w:instrText xml:space="preserve"> PAGEREF _Toc512452519 \h </w:instrText>
        </w:r>
        <w:r>
          <w:rPr>
            <w:webHidden/>
          </w:rPr>
        </w:r>
        <w:r>
          <w:rPr>
            <w:webHidden/>
          </w:rPr>
          <w:fldChar w:fldCharType="separate"/>
        </w:r>
        <w:r w:rsidR="00AF4415">
          <w:rPr>
            <w:webHidden/>
          </w:rPr>
          <w:t>28</w:t>
        </w:r>
        <w:r>
          <w:rPr>
            <w:webHidden/>
          </w:rPr>
          <w:fldChar w:fldCharType="end"/>
        </w:r>
      </w:hyperlink>
    </w:p>
    <w:p w:rsidR="00FD06F3" w:rsidRDefault="0054425B">
      <w:pPr>
        <w:pStyle w:val="TOC1"/>
        <w:rPr>
          <w:rFonts w:asciiTheme="minorHAnsi" w:eastAsiaTheme="minorEastAsia" w:hAnsiTheme="minorHAnsi" w:cstheme="minorBidi"/>
          <w:lang w:val="en-US" w:eastAsia="en-US"/>
        </w:rPr>
      </w:pPr>
      <w:hyperlink w:anchor="_Toc512452520" w:history="1">
        <w:r>
          <w:rPr>
            <w:rStyle w:val="Hyperlink"/>
          </w:rPr>
          <w:t>7.</w:t>
        </w:r>
        <w:r>
          <w:rPr>
            <w:rFonts w:asciiTheme="minorHAnsi" w:eastAsiaTheme="minorEastAsia" w:hAnsiTheme="minorHAnsi" w:cstheme="minorBidi"/>
            <w:lang w:val="en-US" w:eastAsia="en-US"/>
          </w:rPr>
          <w:tab/>
        </w:r>
        <w:r>
          <w:rPr>
            <w:rStyle w:val="Hyperlink"/>
          </w:rPr>
          <w:t>Запасы</w:t>
        </w:r>
        <w:r>
          <w:rPr>
            <w:webHidden/>
          </w:rPr>
          <w:tab/>
        </w:r>
        <w:r>
          <w:rPr>
            <w:webHidden/>
          </w:rPr>
          <w:fldChar w:fldCharType="begin"/>
        </w:r>
        <w:r>
          <w:rPr>
            <w:webHidden/>
          </w:rPr>
          <w:instrText xml:space="preserve"> PAGEREF _Toc512452520 \h </w:instrText>
        </w:r>
        <w:r>
          <w:rPr>
            <w:webHidden/>
          </w:rPr>
        </w:r>
        <w:r>
          <w:rPr>
            <w:webHidden/>
          </w:rPr>
          <w:fldChar w:fldCharType="separate"/>
        </w:r>
        <w:r w:rsidR="00AF4415">
          <w:rPr>
            <w:webHidden/>
          </w:rPr>
          <w:t>29</w:t>
        </w:r>
        <w:r>
          <w:rPr>
            <w:webHidden/>
          </w:rPr>
          <w:fldChar w:fldCharType="end"/>
        </w:r>
      </w:hyperlink>
    </w:p>
    <w:p w:rsidR="00FD06F3" w:rsidRDefault="0054425B">
      <w:pPr>
        <w:pStyle w:val="TOC1"/>
        <w:rPr>
          <w:rFonts w:asciiTheme="minorHAnsi" w:eastAsiaTheme="minorEastAsia" w:hAnsiTheme="minorHAnsi" w:cstheme="minorBidi"/>
          <w:lang w:val="en-US" w:eastAsia="en-US"/>
        </w:rPr>
      </w:pPr>
      <w:hyperlink w:anchor="_Toc512452521" w:history="1">
        <w:r>
          <w:rPr>
            <w:rStyle w:val="Hyperlink"/>
          </w:rPr>
          <w:t>8.</w:t>
        </w:r>
        <w:r>
          <w:rPr>
            <w:rFonts w:asciiTheme="minorHAnsi" w:eastAsiaTheme="minorEastAsia" w:hAnsiTheme="minorHAnsi" w:cstheme="minorBidi"/>
            <w:lang w:val="en-US" w:eastAsia="en-US"/>
          </w:rPr>
          <w:tab/>
        </w:r>
        <w:r>
          <w:rPr>
            <w:rStyle w:val="Hyperlink"/>
          </w:rPr>
          <w:t>Торговая и проч</w:t>
        </w:r>
        <w:r>
          <w:rPr>
            <w:rStyle w:val="Hyperlink"/>
          </w:rPr>
          <w:t>ая дебиторская задолженность</w:t>
        </w:r>
        <w:r>
          <w:rPr>
            <w:webHidden/>
          </w:rPr>
          <w:tab/>
        </w:r>
        <w:r>
          <w:rPr>
            <w:webHidden/>
          </w:rPr>
          <w:fldChar w:fldCharType="begin"/>
        </w:r>
        <w:r>
          <w:rPr>
            <w:webHidden/>
          </w:rPr>
          <w:instrText xml:space="preserve"> PAGEREF _Toc512452521 \h </w:instrText>
        </w:r>
        <w:r>
          <w:rPr>
            <w:webHidden/>
          </w:rPr>
        </w:r>
        <w:r>
          <w:rPr>
            <w:webHidden/>
          </w:rPr>
          <w:fldChar w:fldCharType="separate"/>
        </w:r>
        <w:r w:rsidR="00AF4415">
          <w:rPr>
            <w:webHidden/>
          </w:rPr>
          <w:t>29</w:t>
        </w:r>
        <w:r>
          <w:rPr>
            <w:webHidden/>
          </w:rPr>
          <w:fldChar w:fldCharType="end"/>
        </w:r>
      </w:hyperlink>
    </w:p>
    <w:p w:rsidR="00FD06F3" w:rsidRDefault="0054425B">
      <w:pPr>
        <w:pStyle w:val="TOC1"/>
        <w:rPr>
          <w:rFonts w:asciiTheme="minorHAnsi" w:eastAsiaTheme="minorEastAsia" w:hAnsiTheme="minorHAnsi" w:cstheme="minorBidi"/>
          <w:lang w:val="en-US" w:eastAsia="en-US"/>
        </w:rPr>
      </w:pPr>
      <w:hyperlink w:anchor="_Toc512452522" w:history="1">
        <w:r>
          <w:rPr>
            <w:rStyle w:val="Hyperlink"/>
          </w:rPr>
          <w:t>9.</w:t>
        </w:r>
        <w:r>
          <w:rPr>
            <w:rFonts w:asciiTheme="minorHAnsi" w:eastAsiaTheme="minorEastAsia" w:hAnsiTheme="minorHAnsi" w:cstheme="minorBidi"/>
            <w:lang w:val="en-US" w:eastAsia="en-US"/>
          </w:rPr>
          <w:tab/>
        </w:r>
        <w:r>
          <w:rPr>
            <w:rStyle w:val="Hyperlink"/>
          </w:rPr>
          <w:t>Денежные средства и их эквиваленты</w:t>
        </w:r>
        <w:r>
          <w:rPr>
            <w:webHidden/>
          </w:rPr>
          <w:tab/>
        </w:r>
        <w:r>
          <w:rPr>
            <w:webHidden/>
          </w:rPr>
          <w:fldChar w:fldCharType="begin"/>
        </w:r>
        <w:r>
          <w:rPr>
            <w:webHidden/>
          </w:rPr>
          <w:instrText xml:space="preserve"> PAGEREF _Toc512452522 \h </w:instrText>
        </w:r>
        <w:r>
          <w:rPr>
            <w:webHidden/>
          </w:rPr>
        </w:r>
        <w:r>
          <w:rPr>
            <w:webHidden/>
          </w:rPr>
          <w:fldChar w:fldCharType="separate"/>
        </w:r>
        <w:r w:rsidR="00AF4415">
          <w:rPr>
            <w:webHidden/>
          </w:rPr>
          <w:t>29</w:t>
        </w:r>
        <w:r>
          <w:rPr>
            <w:webHidden/>
          </w:rPr>
          <w:fldChar w:fldCharType="end"/>
        </w:r>
      </w:hyperlink>
    </w:p>
    <w:p w:rsidR="00FD06F3" w:rsidRDefault="0054425B">
      <w:pPr>
        <w:pStyle w:val="TOC1"/>
        <w:rPr>
          <w:rFonts w:asciiTheme="minorHAnsi" w:eastAsiaTheme="minorEastAsia" w:hAnsiTheme="minorHAnsi" w:cstheme="minorBidi"/>
          <w:lang w:val="en-US" w:eastAsia="en-US"/>
        </w:rPr>
      </w:pPr>
      <w:hyperlink w:anchor="_Toc512452523" w:history="1">
        <w:r>
          <w:rPr>
            <w:rStyle w:val="Hyperlink"/>
          </w:rPr>
          <w:t>10.</w:t>
        </w:r>
        <w:r>
          <w:rPr>
            <w:rFonts w:asciiTheme="minorHAnsi" w:eastAsiaTheme="minorEastAsia" w:hAnsiTheme="minorHAnsi" w:cstheme="minorBidi"/>
            <w:lang w:val="en-US" w:eastAsia="en-US"/>
          </w:rPr>
          <w:tab/>
        </w:r>
        <w:r>
          <w:rPr>
            <w:rStyle w:val="Hyperlink"/>
          </w:rPr>
          <w:t>Уставный капитал</w:t>
        </w:r>
        <w:r>
          <w:rPr>
            <w:webHidden/>
          </w:rPr>
          <w:tab/>
        </w:r>
        <w:r>
          <w:rPr>
            <w:webHidden/>
          </w:rPr>
          <w:fldChar w:fldCharType="begin"/>
        </w:r>
        <w:r>
          <w:rPr>
            <w:webHidden/>
          </w:rPr>
          <w:instrText xml:space="preserve"> PAGEREF _Toc512452523 \h </w:instrText>
        </w:r>
        <w:r>
          <w:rPr>
            <w:webHidden/>
          </w:rPr>
        </w:r>
        <w:r>
          <w:rPr>
            <w:webHidden/>
          </w:rPr>
          <w:fldChar w:fldCharType="separate"/>
        </w:r>
        <w:r w:rsidR="00AF4415">
          <w:rPr>
            <w:webHidden/>
          </w:rPr>
          <w:t>30</w:t>
        </w:r>
        <w:r>
          <w:rPr>
            <w:webHidden/>
          </w:rPr>
          <w:fldChar w:fldCharType="end"/>
        </w:r>
      </w:hyperlink>
    </w:p>
    <w:p w:rsidR="00FD06F3" w:rsidRDefault="0054425B">
      <w:pPr>
        <w:pStyle w:val="TOC1"/>
        <w:rPr>
          <w:rFonts w:asciiTheme="minorHAnsi" w:eastAsiaTheme="minorEastAsia" w:hAnsiTheme="minorHAnsi" w:cstheme="minorBidi"/>
          <w:lang w:val="en-US" w:eastAsia="en-US"/>
        </w:rPr>
      </w:pPr>
      <w:hyperlink w:anchor="_Toc512452524" w:history="1">
        <w:r>
          <w:rPr>
            <w:rStyle w:val="Hyperlink"/>
          </w:rPr>
          <w:t>11.</w:t>
        </w:r>
        <w:r>
          <w:rPr>
            <w:rFonts w:asciiTheme="minorHAnsi" w:eastAsiaTheme="minorEastAsia" w:hAnsiTheme="minorHAnsi" w:cstheme="minorBidi"/>
            <w:lang w:val="en-US" w:eastAsia="en-US"/>
          </w:rPr>
          <w:tab/>
        </w:r>
        <w:r>
          <w:rPr>
            <w:rStyle w:val="Hyperlink"/>
          </w:rPr>
          <w:t>Кредиты и займы</w:t>
        </w:r>
        <w:r>
          <w:rPr>
            <w:webHidden/>
          </w:rPr>
          <w:tab/>
        </w:r>
        <w:r>
          <w:rPr>
            <w:webHidden/>
          </w:rPr>
          <w:fldChar w:fldCharType="begin"/>
        </w:r>
        <w:r>
          <w:rPr>
            <w:webHidden/>
          </w:rPr>
          <w:instrText xml:space="preserve"> PAGEREF _Toc512452524 \h </w:instrText>
        </w:r>
        <w:r>
          <w:rPr>
            <w:webHidden/>
          </w:rPr>
        </w:r>
        <w:r>
          <w:rPr>
            <w:webHidden/>
          </w:rPr>
          <w:fldChar w:fldCharType="separate"/>
        </w:r>
        <w:r w:rsidR="00AF4415">
          <w:rPr>
            <w:webHidden/>
          </w:rPr>
          <w:t>30</w:t>
        </w:r>
        <w:r>
          <w:rPr>
            <w:webHidden/>
          </w:rPr>
          <w:fldChar w:fldCharType="end"/>
        </w:r>
      </w:hyperlink>
    </w:p>
    <w:p w:rsidR="00FD06F3" w:rsidRDefault="0054425B">
      <w:pPr>
        <w:pStyle w:val="TOC1"/>
        <w:rPr>
          <w:rFonts w:asciiTheme="minorHAnsi" w:eastAsiaTheme="minorEastAsia" w:hAnsiTheme="minorHAnsi" w:cstheme="minorBidi"/>
          <w:lang w:val="en-US" w:eastAsia="en-US"/>
        </w:rPr>
      </w:pPr>
      <w:hyperlink w:anchor="_Toc512452525" w:history="1">
        <w:r>
          <w:rPr>
            <w:rStyle w:val="Hyperlink"/>
          </w:rPr>
          <w:t>12.</w:t>
        </w:r>
        <w:r>
          <w:rPr>
            <w:rFonts w:asciiTheme="minorHAnsi" w:eastAsiaTheme="minorEastAsia" w:hAnsiTheme="minorHAnsi" w:cstheme="minorBidi"/>
            <w:lang w:val="en-US" w:eastAsia="en-US"/>
          </w:rPr>
          <w:tab/>
        </w:r>
        <w:r>
          <w:rPr>
            <w:rStyle w:val="Hyperlink"/>
          </w:rPr>
          <w:t>Налог на прибыль</w:t>
        </w:r>
        <w:r>
          <w:rPr>
            <w:webHidden/>
          </w:rPr>
          <w:tab/>
        </w:r>
        <w:r>
          <w:rPr>
            <w:webHidden/>
          </w:rPr>
          <w:fldChar w:fldCharType="begin"/>
        </w:r>
        <w:r>
          <w:rPr>
            <w:webHidden/>
          </w:rPr>
          <w:instrText xml:space="preserve"> PAGEREF _Toc512452525 \h </w:instrText>
        </w:r>
        <w:r>
          <w:rPr>
            <w:webHidden/>
          </w:rPr>
        </w:r>
        <w:r>
          <w:rPr>
            <w:webHidden/>
          </w:rPr>
          <w:fldChar w:fldCharType="separate"/>
        </w:r>
        <w:r w:rsidR="00AF4415">
          <w:rPr>
            <w:webHidden/>
          </w:rPr>
          <w:t>31</w:t>
        </w:r>
        <w:r>
          <w:rPr>
            <w:webHidden/>
          </w:rPr>
          <w:fldChar w:fldCharType="end"/>
        </w:r>
      </w:hyperlink>
    </w:p>
    <w:p w:rsidR="00FD06F3" w:rsidRDefault="0054425B">
      <w:pPr>
        <w:pStyle w:val="TOC1"/>
        <w:rPr>
          <w:rFonts w:asciiTheme="minorHAnsi" w:eastAsiaTheme="minorEastAsia" w:hAnsiTheme="minorHAnsi" w:cstheme="minorBidi"/>
          <w:lang w:val="en-US" w:eastAsia="en-US"/>
        </w:rPr>
      </w:pPr>
      <w:hyperlink w:anchor="_Toc512452526" w:history="1">
        <w:r>
          <w:rPr>
            <w:rStyle w:val="Hyperlink"/>
          </w:rPr>
          <w:t>13.</w:t>
        </w:r>
        <w:r>
          <w:rPr>
            <w:rFonts w:asciiTheme="minorHAnsi" w:eastAsiaTheme="minorEastAsia" w:hAnsiTheme="minorHAnsi" w:cstheme="minorBidi"/>
            <w:lang w:val="en-US" w:eastAsia="en-US"/>
          </w:rPr>
          <w:tab/>
        </w:r>
        <w:r>
          <w:rPr>
            <w:rStyle w:val="Hyperlink"/>
          </w:rPr>
          <w:t>Торговая и прочая кредиторская задолженность</w:t>
        </w:r>
        <w:r>
          <w:rPr>
            <w:webHidden/>
          </w:rPr>
          <w:tab/>
        </w:r>
        <w:r>
          <w:rPr>
            <w:webHidden/>
          </w:rPr>
          <w:fldChar w:fldCharType="begin"/>
        </w:r>
        <w:r>
          <w:rPr>
            <w:webHidden/>
          </w:rPr>
          <w:instrText xml:space="preserve"> PAGEREF _Toc512452526 \h </w:instrText>
        </w:r>
        <w:r>
          <w:rPr>
            <w:webHidden/>
          </w:rPr>
        </w:r>
        <w:r>
          <w:rPr>
            <w:webHidden/>
          </w:rPr>
          <w:fldChar w:fldCharType="separate"/>
        </w:r>
        <w:r w:rsidR="00AF4415">
          <w:rPr>
            <w:webHidden/>
          </w:rPr>
          <w:t>32</w:t>
        </w:r>
        <w:r>
          <w:rPr>
            <w:webHidden/>
          </w:rPr>
          <w:fldChar w:fldCharType="end"/>
        </w:r>
      </w:hyperlink>
    </w:p>
    <w:p w:rsidR="00FD06F3" w:rsidRDefault="0054425B">
      <w:pPr>
        <w:pStyle w:val="TOC1"/>
        <w:rPr>
          <w:rFonts w:asciiTheme="minorHAnsi" w:eastAsiaTheme="minorEastAsia" w:hAnsiTheme="minorHAnsi" w:cstheme="minorBidi"/>
          <w:lang w:val="en-US" w:eastAsia="en-US"/>
        </w:rPr>
      </w:pPr>
      <w:hyperlink w:anchor="_Toc512452527" w:history="1">
        <w:r>
          <w:rPr>
            <w:rStyle w:val="Hyperlink"/>
          </w:rPr>
          <w:t>14.</w:t>
        </w:r>
        <w:r>
          <w:rPr>
            <w:rFonts w:asciiTheme="minorHAnsi" w:eastAsiaTheme="minorEastAsia" w:hAnsiTheme="minorHAnsi" w:cstheme="minorBidi"/>
            <w:lang w:val="en-US" w:eastAsia="en-US"/>
          </w:rPr>
          <w:tab/>
        </w:r>
        <w:r>
          <w:rPr>
            <w:rStyle w:val="Hyperlink"/>
          </w:rPr>
          <w:t>Обязательства по пенсионным выплатам</w:t>
        </w:r>
        <w:r>
          <w:rPr>
            <w:webHidden/>
          </w:rPr>
          <w:tab/>
        </w:r>
        <w:r>
          <w:rPr>
            <w:webHidden/>
          </w:rPr>
          <w:fldChar w:fldCharType="begin"/>
        </w:r>
        <w:r>
          <w:rPr>
            <w:webHidden/>
          </w:rPr>
          <w:instrText xml:space="preserve"> PAGE</w:instrText>
        </w:r>
        <w:r>
          <w:rPr>
            <w:webHidden/>
          </w:rPr>
          <w:instrText xml:space="preserve">REF _Toc512452527 \h </w:instrText>
        </w:r>
        <w:r>
          <w:rPr>
            <w:webHidden/>
          </w:rPr>
        </w:r>
        <w:r>
          <w:rPr>
            <w:webHidden/>
          </w:rPr>
          <w:fldChar w:fldCharType="separate"/>
        </w:r>
        <w:r w:rsidR="00AF4415">
          <w:rPr>
            <w:webHidden/>
          </w:rPr>
          <w:t>32</w:t>
        </w:r>
        <w:r>
          <w:rPr>
            <w:webHidden/>
          </w:rPr>
          <w:fldChar w:fldCharType="end"/>
        </w:r>
      </w:hyperlink>
    </w:p>
    <w:p w:rsidR="00FD06F3" w:rsidRDefault="0054425B">
      <w:pPr>
        <w:pStyle w:val="TOC1"/>
        <w:rPr>
          <w:rFonts w:asciiTheme="minorHAnsi" w:eastAsiaTheme="minorEastAsia" w:hAnsiTheme="minorHAnsi" w:cstheme="minorBidi"/>
          <w:lang w:val="en-US" w:eastAsia="en-US"/>
        </w:rPr>
      </w:pPr>
      <w:hyperlink w:anchor="_Toc512452528" w:history="1">
        <w:r>
          <w:rPr>
            <w:rStyle w:val="Hyperlink"/>
          </w:rPr>
          <w:t>15.</w:t>
        </w:r>
        <w:r>
          <w:rPr>
            <w:rFonts w:asciiTheme="minorHAnsi" w:eastAsiaTheme="minorEastAsia" w:hAnsiTheme="minorHAnsi" w:cstheme="minorBidi"/>
            <w:lang w:val="en-US" w:eastAsia="en-US"/>
          </w:rPr>
          <w:tab/>
        </w:r>
        <w:r>
          <w:rPr>
            <w:rStyle w:val="Hyperlink"/>
          </w:rPr>
          <w:t>Классификация затрат по видам</w:t>
        </w:r>
        <w:r>
          <w:rPr>
            <w:webHidden/>
          </w:rPr>
          <w:tab/>
        </w:r>
        <w:r>
          <w:rPr>
            <w:webHidden/>
          </w:rPr>
          <w:fldChar w:fldCharType="begin"/>
        </w:r>
        <w:r>
          <w:rPr>
            <w:webHidden/>
          </w:rPr>
          <w:instrText xml:space="preserve"> PAGEREF _Toc512452528 \h </w:instrText>
        </w:r>
        <w:r>
          <w:rPr>
            <w:webHidden/>
          </w:rPr>
        </w:r>
        <w:r>
          <w:rPr>
            <w:webHidden/>
          </w:rPr>
          <w:fldChar w:fldCharType="separate"/>
        </w:r>
        <w:r w:rsidR="00AF4415">
          <w:rPr>
            <w:webHidden/>
          </w:rPr>
          <w:t>33</w:t>
        </w:r>
        <w:r>
          <w:rPr>
            <w:webHidden/>
          </w:rPr>
          <w:fldChar w:fldCharType="end"/>
        </w:r>
      </w:hyperlink>
    </w:p>
    <w:p w:rsidR="00FD06F3" w:rsidRDefault="0054425B">
      <w:pPr>
        <w:pStyle w:val="TOC1"/>
        <w:rPr>
          <w:rFonts w:asciiTheme="minorHAnsi" w:eastAsiaTheme="minorEastAsia" w:hAnsiTheme="minorHAnsi" w:cstheme="minorBidi"/>
          <w:lang w:val="en-US" w:eastAsia="en-US"/>
        </w:rPr>
      </w:pPr>
      <w:hyperlink w:anchor="_Toc512452529" w:history="1">
        <w:r>
          <w:rPr>
            <w:rStyle w:val="Hyperlink"/>
          </w:rPr>
          <w:t>16.</w:t>
        </w:r>
        <w:r>
          <w:rPr>
            <w:rFonts w:asciiTheme="minorHAnsi" w:eastAsiaTheme="minorEastAsia" w:hAnsiTheme="minorHAnsi" w:cstheme="minorBidi"/>
            <w:lang w:val="en-US" w:eastAsia="en-US"/>
          </w:rPr>
          <w:tab/>
        </w:r>
        <w:r>
          <w:rPr>
            <w:rStyle w:val="Hyperlink"/>
          </w:rPr>
          <w:t>Прочие операционные расходы, нетто</w:t>
        </w:r>
        <w:r>
          <w:rPr>
            <w:webHidden/>
          </w:rPr>
          <w:tab/>
        </w:r>
        <w:r>
          <w:rPr>
            <w:webHidden/>
          </w:rPr>
          <w:fldChar w:fldCharType="begin"/>
        </w:r>
        <w:r>
          <w:rPr>
            <w:webHidden/>
          </w:rPr>
          <w:instrText xml:space="preserve"> PAGEREF _Toc512452529 \h </w:instrText>
        </w:r>
        <w:r>
          <w:rPr>
            <w:webHidden/>
          </w:rPr>
        </w:r>
        <w:r>
          <w:rPr>
            <w:webHidden/>
          </w:rPr>
          <w:fldChar w:fldCharType="separate"/>
        </w:r>
        <w:r w:rsidR="00AF4415">
          <w:rPr>
            <w:webHidden/>
          </w:rPr>
          <w:t>33</w:t>
        </w:r>
        <w:r>
          <w:rPr>
            <w:webHidden/>
          </w:rPr>
          <w:fldChar w:fldCharType="end"/>
        </w:r>
      </w:hyperlink>
    </w:p>
    <w:p w:rsidR="00FD06F3" w:rsidRDefault="0054425B">
      <w:pPr>
        <w:pStyle w:val="TOC1"/>
        <w:rPr>
          <w:rStyle w:val="Hyperlink"/>
        </w:rPr>
      </w:pPr>
      <w:hyperlink w:anchor="_Toc512452530" w:history="1">
        <w:r>
          <w:rPr>
            <w:rStyle w:val="Hyperlink"/>
          </w:rPr>
          <w:t>17.</w:t>
        </w:r>
        <w:r>
          <w:rPr>
            <w:rStyle w:val="Hyperlink"/>
          </w:rPr>
          <w:tab/>
          <w:t>Финансовые доходы, нетто</w:t>
        </w:r>
        <w:r>
          <w:rPr>
            <w:rStyle w:val="Hyperlink"/>
            <w:webHidden/>
          </w:rPr>
          <w:tab/>
        </w:r>
        <w:r>
          <w:rPr>
            <w:rStyle w:val="Hyperlink"/>
            <w:webHidden/>
          </w:rPr>
          <w:fldChar w:fldCharType="begin"/>
        </w:r>
        <w:r>
          <w:rPr>
            <w:rStyle w:val="Hyperlink"/>
            <w:webHidden/>
          </w:rPr>
          <w:instrText xml:space="preserve"> PAGEREF _Toc512452530 \h </w:instrText>
        </w:r>
        <w:r>
          <w:rPr>
            <w:rStyle w:val="Hyperlink"/>
            <w:webHidden/>
          </w:rPr>
        </w:r>
        <w:r>
          <w:rPr>
            <w:rStyle w:val="Hyperlink"/>
            <w:webHidden/>
          </w:rPr>
          <w:fldChar w:fldCharType="separate"/>
        </w:r>
        <w:r w:rsidR="00AF4415">
          <w:rPr>
            <w:rStyle w:val="Hyperlink"/>
            <w:webHidden/>
          </w:rPr>
          <w:t>33</w:t>
        </w:r>
        <w:r>
          <w:rPr>
            <w:rStyle w:val="Hyperlink"/>
            <w:webHidden/>
          </w:rPr>
          <w:fldChar w:fldCharType="end"/>
        </w:r>
      </w:hyperlink>
    </w:p>
    <w:p w:rsidR="00FD06F3" w:rsidRDefault="0054425B">
      <w:pPr>
        <w:pStyle w:val="TOC1"/>
        <w:rPr>
          <w:rFonts w:asciiTheme="minorHAnsi" w:eastAsiaTheme="minorEastAsia" w:hAnsiTheme="minorHAnsi" w:cstheme="minorBidi"/>
          <w:lang w:val="en-US" w:eastAsia="en-US"/>
        </w:rPr>
      </w:pPr>
      <w:hyperlink w:anchor="_Toc512452531" w:history="1">
        <w:r>
          <w:rPr>
            <w:rStyle w:val="Hyperlink"/>
          </w:rPr>
          <w:t>18.</w:t>
        </w:r>
        <w:r>
          <w:rPr>
            <w:rFonts w:asciiTheme="minorHAnsi" w:eastAsiaTheme="minorEastAsia" w:hAnsiTheme="minorHAnsi" w:cstheme="minorBidi"/>
            <w:lang w:val="en-US" w:eastAsia="en-US"/>
          </w:rPr>
          <w:tab/>
        </w:r>
        <w:r>
          <w:rPr>
            <w:rStyle w:val="Hyperlink"/>
          </w:rPr>
          <w:t>Операции со связанными сторонами</w:t>
        </w:r>
        <w:r>
          <w:rPr>
            <w:webHidden/>
          </w:rPr>
          <w:tab/>
        </w:r>
        <w:r>
          <w:rPr>
            <w:webHidden/>
          </w:rPr>
          <w:fldChar w:fldCharType="begin"/>
        </w:r>
        <w:r>
          <w:rPr>
            <w:webHidden/>
          </w:rPr>
          <w:instrText xml:space="preserve"> PAGEREF _Toc512452531 \h </w:instrText>
        </w:r>
        <w:r>
          <w:rPr>
            <w:webHidden/>
          </w:rPr>
        </w:r>
        <w:r>
          <w:rPr>
            <w:webHidden/>
          </w:rPr>
          <w:fldChar w:fldCharType="separate"/>
        </w:r>
        <w:r w:rsidR="00AF4415">
          <w:rPr>
            <w:webHidden/>
          </w:rPr>
          <w:t>34</w:t>
        </w:r>
        <w:r>
          <w:rPr>
            <w:webHidden/>
          </w:rPr>
          <w:fldChar w:fldCharType="end"/>
        </w:r>
      </w:hyperlink>
    </w:p>
    <w:p w:rsidR="00FD06F3" w:rsidRDefault="0054425B">
      <w:pPr>
        <w:pStyle w:val="TOC1"/>
        <w:rPr>
          <w:rFonts w:asciiTheme="minorHAnsi" w:eastAsiaTheme="minorEastAsia" w:hAnsiTheme="minorHAnsi" w:cstheme="minorBidi"/>
          <w:lang w:val="en-US" w:eastAsia="en-US"/>
        </w:rPr>
      </w:pPr>
      <w:hyperlink w:anchor="_Toc512452532" w:history="1">
        <w:r>
          <w:rPr>
            <w:rStyle w:val="Hyperlink"/>
          </w:rPr>
          <w:t>19.</w:t>
        </w:r>
        <w:r>
          <w:rPr>
            <w:rFonts w:asciiTheme="minorHAnsi" w:eastAsiaTheme="minorEastAsia" w:hAnsiTheme="minorHAnsi" w:cstheme="minorBidi"/>
            <w:lang w:val="en-US" w:eastAsia="en-US"/>
          </w:rPr>
          <w:tab/>
        </w:r>
        <w:r>
          <w:rPr>
            <w:rStyle w:val="Hyperlink"/>
          </w:rPr>
          <w:t>Отчетность по сегментам</w:t>
        </w:r>
        <w:r>
          <w:rPr>
            <w:webHidden/>
          </w:rPr>
          <w:tab/>
        </w:r>
        <w:r>
          <w:rPr>
            <w:webHidden/>
          </w:rPr>
          <w:fldChar w:fldCharType="begin"/>
        </w:r>
        <w:r>
          <w:rPr>
            <w:webHidden/>
          </w:rPr>
          <w:instrText xml:space="preserve"> PAGEREF _Toc512452532 \h </w:instrText>
        </w:r>
        <w:r>
          <w:rPr>
            <w:webHidden/>
          </w:rPr>
        </w:r>
        <w:r>
          <w:rPr>
            <w:webHidden/>
          </w:rPr>
          <w:fldChar w:fldCharType="separate"/>
        </w:r>
        <w:r w:rsidR="00AF4415">
          <w:rPr>
            <w:webHidden/>
          </w:rPr>
          <w:t>36</w:t>
        </w:r>
        <w:r>
          <w:rPr>
            <w:webHidden/>
          </w:rPr>
          <w:fldChar w:fldCharType="end"/>
        </w:r>
      </w:hyperlink>
    </w:p>
    <w:p w:rsidR="00FD06F3" w:rsidRDefault="0054425B">
      <w:pPr>
        <w:pStyle w:val="TOC1"/>
        <w:rPr>
          <w:rFonts w:asciiTheme="minorHAnsi" w:eastAsiaTheme="minorEastAsia" w:hAnsiTheme="minorHAnsi" w:cstheme="minorBidi"/>
          <w:lang w:val="en-US" w:eastAsia="en-US"/>
        </w:rPr>
      </w:pPr>
      <w:hyperlink w:anchor="_Toc512452533" w:history="1">
        <w:r>
          <w:rPr>
            <w:rStyle w:val="Hyperlink"/>
          </w:rPr>
          <w:t>20.</w:t>
        </w:r>
        <w:r>
          <w:rPr>
            <w:rFonts w:asciiTheme="minorHAnsi" w:eastAsiaTheme="minorEastAsia" w:hAnsiTheme="minorHAnsi" w:cstheme="minorBidi"/>
            <w:lang w:val="en-US" w:eastAsia="en-US"/>
          </w:rPr>
          <w:tab/>
        </w:r>
        <w:r>
          <w:rPr>
            <w:rStyle w:val="Hyperlink"/>
          </w:rPr>
          <w:t>Договорные и условные обязательства</w:t>
        </w:r>
        <w:r>
          <w:rPr>
            <w:webHidden/>
          </w:rPr>
          <w:tab/>
        </w:r>
        <w:r>
          <w:rPr>
            <w:webHidden/>
          </w:rPr>
          <w:fldChar w:fldCharType="begin"/>
        </w:r>
        <w:r>
          <w:rPr>
            <w:webHidden/>
          </w:rPr>
          <w:instrText xml:space="preserve"> PAGEREF _Toc512452533 \h </w:instrText>
        </w:r>
        <w:r>
          <w:rPr>
            <w:webHidden/>
          </w:rPr>
        </w:r>
        <w:r>
          <w:rPr>
            <w:webHidden/>
          </w:rPr>
          <w:fldChar w:fldCharType="separate"/>
        </w:r>
        <w:r w:rsidR="00AF4415">
          <w:rPr>
            <w:webHidden/>
          </w:rPr>
          <w:t>36</w:t>
        </w:r>
        <w:r>
          <w:rPr>
            <w:webHidden/>
          </w:rPr>
          <w:fldChar w:fldCharType="end"/>
        </w:r>
      </w:hyperlink>
    </w:p>
    <w:p w:rsidR="00FD06F3" w:rsidRDefault="0054425B">
      <w:pPr>
        <w:pStyle w:val="TOC1"/>
        <w:rPr>
          <w:rFonts w:asciiTheme="minorHAnsi" w:eastAsiaTheme="minorEastAsia" w:hAnsiTheme="minorHAnsi" w:cstheme="minorBidi"/>
          <w:lang w:val="en-US" w:eastAsia="en-US"/>
        </w:rPr>
      </w:pPr>
      <w:hyperlink w:anchor="_Toc512452534" w:history="1">
        <w:r>
          <w:rPr>
            <w:rStyle w:val="Hyperlink"/>
          </w:rPr>
          <w:t>21.</w:t>
        </w:r>
        <w:r>
          <w:rPr>
            <w:rFonts w:asciiTheme="minorHAnsi" w:eastAsiaTheme="minorEastAsia" w:hAnsiTheme="minorHAnsi" w:cstheme="minorBidi"/>
            <w:lang w:val="en-US" w:eastAsia="en-US"/>
          </w:rPr>
          <w:tab/>
        </w:r>
        <w:r>
          <w:rPr>
            <w:rStyle w:val="Hyperlink"/>
          </w:rPr>
          <w:t>Финансовые инструменты и задачи и принципы управления финансовыми рисками</w:t>
        </w:r>
        <w:r>
          <w:rPr>
            <w:webHidden/>
          </w:rPr>
          <w:tab/>
        </w:r>
        <w:r>
          <w:rPr>
            <w:webHidden/>
          </w:rPr>
          <w:fldChar w:fldCharType="begin"/>
        </w:r>
        <w:r>
          <w:rPr>
            <w:webHidden/>
          </w:rPr>
          <w:instrText xml:space="preserve"> PAGEREF _Toc512452534 \h </w:instrText>
        </w:r>
        <w:r>
          <w:rPr>
            <w:webHidden/>
          </w:rPr>
        </w:r>
        <w:r>
          <w:rPr>
            <w:webHidden/>
          </w:rPr>
          <w:fldChar w:fldCharType="separate"/>
        </w:r>
        <w:r w:rsidR="00AF4415">
          <w:rPr>
            <w:webHidden/>
          </w:rPr>
          <w:t>38</w:t>
        </w:r>
        <w:r>
          <w:rPr>
            <w:webHidden/>
          </w:rPr>
          <w:fldChar w:fldCharType="end"/>
        </w:r>
      </w:hyperlink>
    </w:p>
    <w:p w:rsidR="00FD06F3" w:rsidRPr="00AF4415" w:rsidRDefault="0054425B">
      <w:pPr>
        <w:pStyle w:val="TOC1"/>
      </w:pPr>
      <w:hyperlink w:anchor="_Toc512452535" w:history="1">
        <w:r>
          <w:rPr>
            <w:rStyle w:val="Hyperlink"/>
          </w:rPr>
          <w:t>22.</w:t>
        </w:r>
        <w:r w:rsidRPr="00AF4415">
          <w:rPr>
            <w:rFonts w:asciiTheme="minorHAnsi" w:eastAsiaTheme="minorEastAsia" w:hAnsiTheme="minorHAnsi" w:cstheme="minorBidi"/>
            <w:lang w:eastAsia="en-US"/>
          </w:rPr>
          <w:tab/>
        </w:r>
      </w:hyperlink>
      <w:r w:rsidR="00AF4415">
        <w:t>Прибыль или убыток на акцию</w:t>
      </w:r>
      <w:r w:rsidR="00AF4415">
        <w:tab/>
        <w:t>40</w:t>
      </w:r>
      <w:bookmarkStart w:id="0" w:name="_GoBack"/>
      <w:bookmarkEnd w:id="0"/>
      <w:r w:rsidR="00AF4415">
        <w:t xml:space="preserve">        </w:t>
      </w:r>
    </w:p>
    <w:p w:rsidR="00AF4415" w:rsidRDefault="00AF4415" w:rsidP="00AF4415">
      <w:pPr>
        <w:pStyle w:val="TOC1"/>
      </w:pPr>
      <w:hyperlink w:anchor="_Toc512452535" w:history="1">
        <w:r>
          <w:rPr>
            <w:rStyle w:val="Hyperlink"/>
          </w:rPr>
          <w:t>23</w:t>
        </w:r>
        <w:r>
          <w:rPr>
            <w:rStyle w:val="Hyperlink"/>
          </w:rPr>
          <w:t>.</w:t>
        </w:r>
        <w:r>
          <w:rPr>
            <w:rFonts w:asciiTheme="minorHAnsi" w:eastAsiaTheme="minorEastAsia" w:hAnsiTheme="minorHAnsi" w:cstheme="minorBidi"/>
            <w:lang w:val="en-US" w:eastAsia="en-US"/>
          </w:rPr>
          <w:tab/>
        </w:r>
        <w:r>
          <w:rPr>
            <w:rStyle w:val="Hyperlink"/>
          </w:rPr>
          <w:t>События после отчетной даты</w:t>
        </w:r>
        <w:r>
          <w:rPr>
            <w:webHidden/>
          </w:rPr>
          <w:tab/>
        </w:r>
        <w:r>
          <w:rPr>
            <w:webHidden/>
          </w:rPr>
          <w:fldChar w:fldCharType="begin"/>
        </w:r>
        <w:r>
          <w:rPr>
            <w:webHidden/>
          </w:rPr>
          <w:instrText xml:space="preserve"> PAGEREF _Toc512452535 \h </w:instrText>
        </w:r>
        <w:r>
          <w:rPr>
            <w:webHidden/>
          </w:rPr>
        </w:r>
        <w:r>
          <w:rPr>
            <w:webHidden/>
          </w:rPr>
          <w:fldChar w:fldCharType="separate"/>
        </w:r>
        <w:r>
          <w:rPr>
            <w:webHidden/>
          </w:rPr>
          <w:t>40</w:t>
        </w:r>
        <w:r>
          <w:rPr>
            <w:webHidden/>
          </w:rPr>
          <w:fldChar w:fldCharType="end"/>
        </w:r>
      </w:hyperlink>
    </w:p>
    <w:p w:rsidR="00AF4415" w:rsidRPr="00AF4415" w:rsidRDefault="00AF4415" w:rsidP="00AF4415">
      <w:pPr>
        <w:rPr>
          <w:rFonts w:eastAsiaTheme="minorEastAsia"/>
        </w:rPr>
      </w:pPr>
    </w:p>
    <w:p w:rsidR="00FD06F3" w:rsidRDefault="0054425B">
      <w:pPr>
        <w:ind w:left="1021" w:right="6"/>
        <w:rPr>
          <w:rFonts w:ascii="EYInterstate Light" w:hAnsi="EYInterstate Light" w:cs="EYInterstate Light"/>
          <w:b/>
          <w:bCs/>
          <w:noProof/>
          <w:sz w:val="22"/>
          <w:szCs w:val="22"/>
        </w:rPr>
      </w:pPr>
      <w:r>
        <w:rPr>
          <w:rFonts w:ascii="EYInterstate Light" w:hAnsi="EYInterstate Light" w:cs="EYInterstate Light"/>
          <w:b/>
          <w:bCs/>
          <w:noProof/>
          <w:sz w:val="22"/>
          <w:szCs w:val="22"/>
        </w:rPr>
        <w:fldChar w:fldCharType="end"/>
      </w:r>
    </w:p>
    <w:p w:rsidR="00FD06F3" w:rsidRDefault="00FD06F3">
      <w:pPr>
        <w:ind w:right="6"/>
        <w:rPr>
          <w:rFonts w:ascii="EYInterstate Light" w:hAnsi="EYInterstate Light" w:cs="EYInterstate Light"/>
          <w:b/>
          <w:bCs/>
          <w:noProof/>
          <w:sz w:val="22"/>
          <w:szCs w:val="22"/>
        </w:rPr>
      </w:pPr>
    </w:p>
    <w:p w:rsidR="00FD06F3" w:rsidRDefault="00FD06F3">
      <w:pPr>
        <w:ind w:right="6"/>
        <w:rPr>
          <w:rFonts w:ascii="EYInterstate Light" w:hAnsi="EYInterstate Light" w:cs="EYInterstate Light"/>
          <w:b/>
          <w:bCs/>
        </w:rPr>
        <w:sectPr w:rsidR="00FD06F3">
          <w:headerReference w:type="default" r:id="rId14"/>
          <w:footerReference w:type="default" r:id="rId15"/>
          <w:pgSz w:w="11907" w:h="16840" w:code="9"/>
          <w:pgMar w:top="1134" w:right="851" w:bottom="851" w:left="1701" w:header="720" w:footer="720" w:gutter="0"/>
          <w:cols w:space="720"/>
        </w:sectPr>
      </w:pPr>
    </w:p>
    <w:p w:rsidR="00FD06F3" w:rsidRDefault="0054425B">
      <w:pPr>
        <w:ind w:right="6"/>
        <w:jc w:val="center"/>
        <w:rPr>
          <w:rFonts w:ascii="EYInterstate" w:hAnsi="EYInterstate"/>
          <w:b/>
          <w:sz w:val="26"/>
          <w:szCs w:val="24"/>
          <w:lang w:eastAsia="en-US"/>
        </w:rPr>
      </w:pPr>
      <w:r>
        <w:rPr>
          <w:rFonts w:ascii="EYInterstate" w:hAnsi="EYInterstate"/>
          <w:b/>
          <w:sz w:val="26"/>
          <w:szCs w:val="24"/>
          <w:lang w:eastAsia="en-US"/>
        </w:rPr>
        <w:lastRenderedPageBreak/>
        <w:t xml:space="preserve">Аудиторское заключение </w:t>
      </w:r>
    </w:p>
    <w:p w:rsidR="00FD06F3" w:rsidRDefault="0054425B">
      <w:pPr>
        <w:ind w:right="6"/>
        <w:jc w:val="center"/>
        <w:rPr>
          <w:rFonts w:ascii="EYInterstate Light" w:hAnsi="EYInterstate Light"/>
          <w:b/>
          <w:sz w:val="26"/>
          <w:szCs w:val="24"/>
          <w:lang w:eastAsia="en-US"/>
        </w:rPr>
      </w:pPr>
      <w:r>
        <w:rPr>
          <w:rFonts w:ascii="EYInterstate" w:hAnsi="EYInterstate"/>
          <w:b/>
          <w:sz w:val="26"/>
          <w:szCs w:val="24"/>
          <w:lang w:eastAsia="en-US"/>
        </w:rPr>
        <w:t>независимого аудитора</w:t>
      </w:r>
    </w:p>
    <w:p w:rsidR="00FD06F3" w:rsidRDefault="00FD06F3">
      <w:pPr>
        <w:widowControl w:val="0"/>
        <w:jc w:val="left"/>
        <w:rPr>
          <w:rFonts w:ascii="EYInterstate Light" w:hAnsi="EYInterstate Light"/>
          <w:sz w:val="22"/>
          <w:szCs w:val="22"/>
          <w:lang w:eastAsia="en-US"/>
        </w:rPr>
      </w:pPr>
    </w:p>
    <w:p w:rsidR="00FD06F3" w:rsidRDefault="00FD06F3">
      <w:pPr>
        <w:widowControl w:val="0"/>
        <w:jc w:val="left"/>
        <w:rPr>
          <w:rFonts w:ascii="EYInterstate Light" w:hAnsi="EYInterstate Light"/>
          <w:sz w:val="22"/>
          <w:szCs w:val="22"/>
          <w:lang w:eastAsia="en-US"/>
        </w:rPr>
      </w:pPr>
    </w:p>
    <w:p w:rsidR="00FD06F3" w:rsidRDefault="0054425B">
      <w:pPr>
        <w:ind w:right="6"/>
        <w:jc w:val="left"/>
        <w:rPr>
          <w:rFonts w:ascii="EYInterstate Light" w:hAnsi="EYInterstate Light"/>
          <w:sz w:val="22"/>
          <w:szCs w:val="22"/>
          <w:lang w:eastAsia="en-US"/>
        </w:rPr>
      </w:pPr>
      <w:r>
        <w:rPr>
          <w:rFonts w:ascii="EYInterstate Light" w:hAnsi="EYInterstate Light"/>
          <w:sz w:val="22"/>
          <w:szCs w:val="22"/>
          <w:lang w:eastAsia="en-US"/>
        </w:rPr>
        <w:t xml:space="preserve">Акционерам и Совету директоров </w:t>
      </w:r>
      <w:r>
        <w:rPr>
          <w:rFonts w:ascii="EYInterstate Light" w:hAnsi="EYInterstate Light"/>
          <w:sz w:val="22"/>
          <w:szCs w:val="22"/>
          <w:lang w:eastAsia="en-US"/>
        </w:rPr>
        <w:br/>
      </w:r>
      <w:r>
        <w:rPr>
          <w:rFonts w:ascii="EYInterstate Light" w:hAnsi="EYInterstate Light"/>
          <w:sz w:val="22"/>
          <w:szCs w:val="22"/>
          <w:lang w:eastAsia="en-US"/>
        </w:rPr>
        <w:t xml:space="preserve">ПАО «Московская кондитерская фабрика «Красный Октябрь» </w:t>
      </w:r>
    </w:p>
    <w:p w:rsidR="00FD06F3" w:rsidRDefault="00FD06F3">
      <w:pPr>
        <w:ind w:right="6"/>
        <w:jc w:val="left"/>
        <w:rPr>
          <w:rFonts w:ascii="EYInterstate Light" w:hAnsi="EYInterstate Light"/>
          <w:i/>
          <w:sz w:val="22"/>
          <w:szCs w:val="22"/>
          <w:lang w:eastAsia="en-US"/>
        </w:rPr>
      </w:pPr>
    </w:p>
    <w:p w:rsidR="00FD06F3" w:rsidRDefault="0054425B">
      <w:pPr>
        <w:widowControl w:val="0"/>
        <w:jc w:val="left"/>
        <w:rPr>
          <w:rFonts w:ascii="EYInterstate" w:hAnsi="EYInterstate"/>
          <w:b/>
          <w:i/>
          <w:sz w:val="22"/>
          <w:szCs w:val="24"/>
          <w:lang w:eastAsia="en-US"/>
        </w:rPr>
      </w:pPr>
      <w:r>
        <w:rPr>
          <w:rFonts w:ascii="EYInterstate" w:hAnsi="EYInterstate"/>
          <w:b/>
          <w:i/>
          <w:sz w:val="22"/>
          <w:szCs w:val="24"/>
          <w:lang w:eastAsia="en-US"/>
        </w:rPr>
        <w:t>Мнение</w:t>
      </w:r>
    </w:p>
    <w:p w:rsidR="00FD06F3" w:rsidRDefault="00FD06F3">
      <w:pPr>
        <w:widowControl w:val="0"/>
        <w:jc w:val="left"/>
        <w:rPr>
          <w:rFonts w:ascii="EYInterstate Light" w:hAnsi="EYInterstate Light"/>
          <w:sz w:val="22"/>
          <w:szCs w:val="24"/>
          <w:lang w:eastAsia="en-US"/>
        </w:rPr>
      </w:pPr>
    </w:p>
    <w:p w:rsidR="00FD06F3" w:rsidRDefault="0054425B">
      <w:pPr>
        <w:autoSpaceDE w:val="0"/>
        <w:autoSpaceDN w:val="0"/>
        <w:adjustRightInd w:val="0"/>
        <w:jc w:val="left"/>
        <w:rPr>
          <w:rFonts w:ascii="EYInterstate Light" w:hAnsi="EYInterstate Light"/>
          <w:sz w:val="22"/>
          <w:szCs w:val="22"/>
          <w:lang w:eastAsia="en-US"/>
        </w:rPr>
      </w:pPr>
      <w:r>
        <w:rPr>
          <w:rFonts w:ascii="EYInterstate Light" w:hAnsi="EYInterstate Light"/>
          <w:sz w:val="22"/>
          <w:szCs w:val="22"/>
          <w:lang w:eastAsia="en-US"/>
        </w:rPr>
        <w:t>Мы провели аудит консолидированной</w:t>
      </w:r>
      <w:r>
        <w:rPr>
          <w:rFonts w:ascii="EYInterstate Light" w:hAnsi="EYInterstate Light"/>
          <w:b/>
          <w:sz w:val="22"/>
          <w:szCs w:val="22"/>
          <w:lang w:eastAsia="en-US"/>
        </w:rPr>
        <w:t xml:space="preserve"> </w:t>
      </w:r>
      <w:r>
        <w:rPr>
          <w:rFonts w:ascii="EYInterstate Light" w:hAnsi="EYInterstate Light"/>
          <w:sz w:val="22"/>
          <w:szCs w:val="22"/>
          <w:lang w:eastAsia="en-US"/>
        </w:rPr>
        <w:t>финансовой отчетности ПАО «Московская кондитерская фабрика «Красный Октябрь» и его дочерних организаций («Группа»), состоящей</w:t>
      </w:r>
      <w:r>
        <w:rPr>
          <w:rFonts w:ascii="EYInterstate Light" w:hAnsi="EYInterstate Light"/>
          <w:sz w:val="22"/>
          <w:szCs w:val="22"/>
          <w:vertAlign w:val="superscript"/>
          <w:lang w:eastAsia="en-US"/>
        </w:rPr>
        <w:t xml:space="preserve"> </w:t>
      </w:r>
      <w:r>
        <w:rPr>
          <w:rFonts w:ascii="EYInterstate Light" w:hAnsi="EYInterstate Light"/>
          <w:sz w:val="22"/>
          <w:szCs w:val="22"/>
          <w:lang w:eastAsia="en-US"/>
        </w:rPr>
        <w:t>из консолидированного отчета о</w:t>
      </w:r>
      <w:r>
        <w:rPr>
          <w:rFonts w:ascii="EYInterstate Light" w:hAnsi="EYInterstate Light"/>
          <w:sz w:val="22"/>
          <w:szCs w:val="22"/>
          <w:lang w:eastAsia="en-US"/>
        </w:rPr>
        <w:t xml:space="preserve"> финансовом положении по состоянию на 31 декабря 2017 г., консолидированного отчета о совокупном доходе, консолидированного отчета об изменениях капитала и консолидированного отчета о движении денежных средств за год, закончившийся на указанную дату, а так</w:t>
      </w:r>
      <w:r>
        <w:rPr>
          <w:rFonts w:ascii="EYInterstate Light" w:hAnsi="EYInterstate Light"/>
          <w:sz w:val="22"/>
          <w:szCs w:val="22"/>
          <w:lang w:eastAsia="en-US"/>
        </w:rPr>
        <w:t xml:space="preserve">же примечаний к консолидированной финансовой отчетности, включая краткий обзор основных положений учетной политики. </w:t>
      </w:r>
    </w:p>
    <w:p w:rsidR="00FD06F3" w:rsidRDefault="00FD06F3">
      <w:pPr>
        <w:widowControl w:val="0"/>
        <w:jc w:val="left"/>
        <w:rPr>
          <w:rFonts w:ascii="EYInterstate Light" w:hAnsi="EYInterstate Light"/>
          <w:sz w:val="22"/>
          <w:szCs w:val="22"/>
          <w:lang w:eastAsia="en-US"/>
        </w:rPr>
      </w:pPr>
    </w:p>
    <w:p w:rsidR="00FD06F3" w:rsidRDefault="0054425B">
      <w:pPr>
        <w:widowControl w:val="0"/>
        <w:jc w:val="left"/>
        <w:rPr>
          <w:rFonts w:ascii="EYInterstate Light" w:hAnsi="EYInterstate Light"/>
          <w:sz w:val="22"/>
          <w:szCs w:val="22"/>
          <w:lang w:eastAsia="en-US"/>
        </w:rPr>
      </w:pPr>
      <w:r>
        <w:rPr>
          <w:rFonts w:ascii="EYInterstate Light" w:hAnsi="EYInterstate Light"/>
          <w:sz w:val="22"/>
          <w:szCs w:val="22"/>
          <w:lang w:eastAsia="en-US"/>
        </w:rPr>
        <w:t xml:space="preserve">По нашему мнению, прилагаемая консолидированная финансовая отчетность отражает достоверно во всех существенных аспектах консолидированное </w:t>
      </w:r>
      <w:r>
        <w:rPr>
          <w:rFonts w:ascii="EYInterstate Light" w:hAnsi="EYInterstate Light"/>
          <w:sz w:val="22"/>
          <w:szCs w:val="22"/>
          <w:lang w:eastAsia="en-US"/>
        </w:rPr>
        <w:t>финансовое положение Группы по состоянию на 31 декабря 2017 г., а также его консолидированные финансовые результаты и консолидированное движение денежных средств за год, закончившийся на указанную дату в соответствии с Международными стандартами финансовой</w:t>
      </w:r>
      <w:r>
        <w:rPr>
          <w:rFonts w:ascii="EYInterstate Light" w:hAnsi="EYInterstate Light"/>
          <w:sz w:val="22"/>
          <w:szCs w:val="22"/>
          <w:lang w:eastAsia="en-US"/>
        </w:rPr>
        <w:t xml:space="preserve"> отчетности (МСФО). </w:t>
      </w:r>
    </w:p>
    <w:p w:rsidR="00FD06F3" w:rsidRDefault="00FD06F3">
      <w:pPr>
        <w:widowControl w:val="0"/>
        <w:jc w:val="left"/>
        <w:rPr>
          <w:rFonts w:ascii="EYInterstate Light" w:hAnsi="EYInterstate Light"/>
          <w:sz w:val="22"/>
          <w:szCs w:val="22"/>
          <w:lang w:eastAsia="en-US"/>
        </w:rPr>
      </w:pPr>
    </w:p>
    <w:p w:rsidR="00FD06F3" w:rsidRDefault="0054425B">
      <w:pPr>
        <w:widowControl w:val="0"/>
        <w:jc w:val="left"/>
        <w:rPr>
          <w:rFonts w:ascii="EYInterstate" w:hAnsi="EYInterstate"/>
          <w:b/>
          <w:i/>
          <w:sz w:val="22"/>
          <w:szCs w:val="22"/>
          <w:lang w:eastAsia="en-US"/>
        </w:rPr>
      </w:pPr>
      <w:r>
        <w:rPr>
          <w:rFonts w:ascii="EYInterstate" w:hAnsi="EYInterstate"/>
          <w:b/>
          <w:i/>
          <w:sz w:val="22"/>
          <w:szCs w:val="22"/>
          <w:lang w:eastAsia="en-US"/>
        </w:rPr>
        <w:t>Основание для выражения мнения</w:t>
      </w:r>
    </w:p>
    <w:p w:rsidR="00FD06F3" w:rsidRDefault="00FD06F3">
      <w:pPr>
        <w:widowControl w:val="0"/>
        <w:jc w:val="left"/>
        <w:rPr>
          <w:rFonts w:ascii="EYInterstate Light" w:hAnsi="EYInterstate Light"/>
          <w:sz w:val="22"/>
          <w:szCs w:val="22"/>
          <w:lang w:eastAsia="en-US"/>
        </w:rPr>
      </w:pPr>
    </w:p>
    <w:p w:rsidR="00FD06F3" w:rsidRDefault="0054425B">
      <w:pPr>
        <w:jc w:val="left"/>
        <w:rPr>
          <w:rFonts w:ascii="EYInterstate Light" w:hAnsi="EYInterstate Light"/>
          <w:sz w:val="22"/>
          <w:szCs w:val="22"/>
          <w:highlight w:val="yellow"/>
        </w:rPr>
      </w:pPr>
      <w:r>
        <w:rPr>
          <w:rFonts w:ascii="EYInterstate Light" w:hAnsi="EYInterstate Light"/>
          <w:sz w:val="22"/>
          <w:szCs w:val="22"/>
          <w:lang w:eastAsia="en-US"/>
        </w:rPr>
        <w:t xml:space="preserve">Мы провели аудит в соответствии с Международными стандартами аудита (МСА). Наши обязанности в соответствии с этими стандартами описаны далее в разделе «Ответственность аудитора за аудит </w:t>
      </w:r>
      <w:r>
        <w:rPr>
          <w:rFonts w:ascii="EYInterstate Light" w:hAnsi="EYInterstate Light"/>
          <w:sz w:val="22"/>
          <w:szCs w:val="22"/>
          <w:lang w:eastAsia="en-US"/>
        </w:rPr>
        <w:t xml:space="preserve">консолидированной финансовой отчетности» нашего заключения. Мы независимы по отношению к Группе в соответствии с Кодексом этики профессиональных бухгалтеров Совета по международным стандартам этики для бухгалтеров (Кодекс СМСЭБ) и этическими требованиями, </w:t>
      </w:r>
      <w:r>
        <w:rPr>
          <w:rFonts w:ascii="EYInterstate Light" w:hAnsi="EYInterstate Light"/>
          <w:sz w:val="22"/>
          <w:szCs w:val="22"/>
          <w:lang w:eastAsia="en-US"/>
        </w:rPr>
        <w:t>применимыми к нашему аудиту консолидированной финансовой отчетности в Российской Федерации, и нами выполнены прочие этические обязанности в соответствии с этими требованиями и Кодексом СМСЭБ. Мы полагаем, что полученные нами аудиторские доказательства явля</w:t>
      </w:r>
      <w:r>
        <w:rPr>
          <w:rFonts w:ascii="EYInterstate Light" w:hAnsi="EYInterstate Light"/>
          <w:sz w:val="22"/>
          <w:szCs w:val="22"/>
          <w:lang w:eastAsia="en-US"/>
        </w:rPr>
        <w:t>ются достаточными и надлежащими, чтобы служить основанием для выражения нашего мнения.</w:t>
      </w:r>
    </w:p>
    <w:p w:rsidR="00FD06F3" w:rsidRDefault="00FD06F3">
      <w:pPr>
        <w:jc w:val="left"/>
        <w:rPr>
          <w:rFonts w:ascii="EYInterstate Light" w:hAnsi="EYInterstate Light"/>
          <w:sz w:val="22"/>
          <w:szCs w:val="22"/>
          <w:highlight w:val="yellow"/>
        </w:rPr>
      </w:pPr>
    </w:p>
    <w:p w:rsidR="00FD06F3" w:rsidRDefault="00FD06F3">
      <w:pPr>
        <w:jc w:val="left"/>
        <w:rPr>
          <w:rFonts w:ascii="EYInterstate Light" w:hAnsi="EYInterstate Light" w:cs="Arial"/>
          <w:sz w:val="22"/>
          <w:szCs w:val="22"/>
          <w:highlight w:val="yellow"/>
        </w:rPr>
        <w:sectPr w:rsidR="00FD06F3">
          <w:headerReference w:type="default" r:id="rId16"/>
          <w:footerReference w:type="default" r:id="rId17"/>
          <w:pgSz w:w="11907" w:h="16840" w:code="9"/>
          <w:pgMar w:top="3969" w:right="851" w:bottom="851" w:left="1361" w:header="709" w:footer="709" w:gutter="0"/>
          <w:cols w:space="720"/>
          <w:docGrid w:linePitch="360"/>
        </w:sectPr>
      </w:pPr>
    </w:p>
    <w:p w:rsidR="00FD06F3" w:rsidRDefault="0054425B">
      <w:pPr>
        <w:widowControl w:val="0"/>
        <w:jc w:val="left"/>
        <w:rPr>
          <w:rFonts w:ascii="EYInterstate" w:hAnsi="EYInterstate"/>
          <w:b/>
          <w:i/>
          <w:sz w:val="22"/>
          <w:szCs w:val="24"/>
          <w:lang w:eastAsia="en-US"/>
        </w:rPr>
      </w:pPr>
      <w:r>
        <w:rPr>
          <w:rFonts w:ascii="EYInterstate" w:hAnsi="EYInterstate"/>
          <w:b/>
          <w:i/>
          <w:sz w:val="22"/>
          <w:szCs w:val="24"/>
          <w:lang w:eastAsia="en-US"/>
        </w:rPr>
        <w:lastRenderedPageBreak/>
        <w:t xml:space="preserve">Ключевые вопросы аудита </w:t>
      </w:r>
    </w:p>
    <w:p w:rsidR="00FD06F3" w:rsidRDefault="00FD06F3">
      <w:pPr>
        <w:jc w:val="left"/>
        <w:rPr>
          <w:rFonts w:ascii="EYInterstate Light" w:hAnsi="EYInterstate Light"/>
          <w:sz w:val="22"/>
          <w:szCs w:val="24"/>
          <w:lang w:eastAsia="en-US"/>
        </w:rPr>
      </w:pPr>
    </w:p>
    <w:p w:rsidR="00FD06F3" w:rsidRDefault="0054425B">
      <w:pPr>
        <w:jc w:val="left"/>
        <w:rPr>
          <w:rFonts w:ascii="EYInterstate Light" w:hAnsi="EYInterstate Light"/>
          <w:sz w:val="22"/>
          <w:szCs w:val="22"/>
          <w:lang w:eastAsia="en-US"/>
        </w:rPr>
      </w:pPr>
      <w:r>
        <w:rPr>
          <w:rFonts w:ascii="EYInterstate Light" w:hAnsi="EYInterstate Light"/>
          <w:sz w:val="22"/>
          <w:szCs w:val="22"/>
          <w:lang w:eastAsia="en-US"/>
        </w:rPr>
        <w:t>Ключевые вопросы аудита – это вопросы, которые, согласно нашему профессиональному суждению, являлись наиболее значимыми для нашего аудита консолидированной финансовой отчетности за</w:t>
      </w:r>
      <w:r>
        <w:rPr>
          <w:rFonts w:ascii="EYInterstate Light" w:hAnsi="EYInterstate Light"/>
          <w:sz w:val="22"/>
          <w:szCs w:val="22"/>
          <w:lang w:eastAsia="en-US"/>
        </w:rPr>
        <w:t xml:space="preserve"> текущий период. Эти вопросы были рассмотрены в контексте нашего аудита консолидированной финансовой отчетности в целом и при формировании нашего мнения об этой отчетности, и мы не выражаем отдельного мнения по этим вопросам. В отношении указанного ниже во</w:t>
      </w:r>
      <w:r>
        <w:rPr>
          <w:rFonts w:ascii="EYInterstate Light" w:hAnsi="EYInterstate Light"/>
          <w:sz w:val="22"/>
          <w:szCs w:val="22"/>
          <w:lang w:eastAsia="en-US"/>
        </w:rPr>
        <w:t>проса наше описание того, как данный вопрос был рассмотрен в ходе нашего аудита, приводится в этом контексте.</w:t>
      </w:r>
    </w:p>
    <w:p w:rsidR="00FD06F3" w:rsidRDefault="00FD06F3">
      <w:pPr>
        <w:jc w:val="left"/>
        <w:rPr>
          <w:rFonts w:ascii="EYInterstate Light" w:hAnsi="EYInterstate Light"/>
          <w:sz w:val="22"/>
          <w:szCs w:val="22"/>
          <w:lang w:eastAsia="en-US"/>
        </w:rPr>
      </w:pPr>
    </w:p>
    <w:p w:rsidR="00FD06F3" w:rsidRDefault="0054425B">
      <w:pPr>
        <w:jc w:val="left"/>
        <w:rPr>
          <w:rFonts w:ascii="EYInterstate Light" w:hAnsi="EYInterstate Light"/>
          <w:sz w:val="22"/>
          <w:szCs w:val="22"/>
          <w:lang w:eastAsia="en-US"/>
        </w:rPr>
      </w:pPr>
      <w:r>
        <w:rPr>
          <w:rFonts w:ascii="EYInterstate Light" w:hAnsi="EYInterstate Light"/>
          <w:sz w:val="22"/>
          <w:szCs w:val="22"/>
          <w:lang w:eastAsia="en-US"/>
        </w:rPr>
        <w:t>Мы выполнили обязанности, описанные в разделе «Ответственность аудитора за аудит консолидированной финансовой отчетности» нашего заключения, в то</w:t>
      </w:r>
      <w:r>
        <w:rPr>
          <w:rFonts w:ascii="EYInterstate Light" w:hAnsi="EYInterstate Light"/>
          <w:sz w:val="22"/>
          <w:szCs w:val="22"/>
          <w:lang w:eastAsia="en-US"/>
        </w:rPr>
        <w:t>м числе по отношению к этому вопросу. Соответственно, наш аудит включал выполнение процедур, разработанных в ответ на нашу оценку рисков существенного искажения консолидированной финансовой отчетности. Результаты наших аудиторских процедур, в том числе про</w:t>
      </w:r>
      <w:r>
        <w:rPr>
          <w:rFonts w:ascii="EYInterstate Light" w:hAnsi="EYInterstate Light"/>
          <w:sz w:val="22"/>
          <w:szCs w:val="22"/>
          <w:lang w:eastAsia="en-US"/>
        </w:rPr>
        <w:t>цедур, выполненных в ходе рассмотрения указанного ниже вопроса, служат основанием для выражения нашего аудиторского мнения о прилагаемой консолидированной финансовой отчетности.</w:t>
      </w:r>
    </w:p>
    <w:p w:rsidR="00FD06F3" w:rsidRDefault="00FD06F3">
      <w:pPr>
        <w:jc w:val="left"/>
        <w:rPr>
          <w:rFonts w:ascii="EYInterstate Light" w:hAnsi="EYInterstate Light"/>
          <w:sz w:val="22"/>
          <w:szCs w:val="24"/>
          <w:lang w:eastAsia="en-US"/>
        </w:rPr>
      </w:pPr>
    </w:p>
    <w:tbl>
      <w:tblPr>
        <w:tblStyle w:val="ListTable41"/>
        <w:tblW w:w="9639" w:type="dxa"/>
        <w:tblInd w:w="-5"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4819"/>
        <w:gridCol w:w="4820"/>
      </w:tblGrid>
      <w:tr w:rsidR="00FD06F3" w:rsidTr="00FD06F3">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single" w:sz="6" w:space="0" w:color="auto"/>
            </w:tcBorders>
            <w:shd w:val="clear" w:color="auto" w:fill="auto"/>
            <w:vAlign w:val="bottom"/>
          </w:tcPr>
          <w:p w:rsidR="00FD06F3" w:rsidRDefault="0054425B">
            <w:pPr>
              <w:widowControl w:val="0"/>
              <w:ind w:left="-103"/>
              <w:jc w:val="left"/>
              <w:rPr>
                <w:rFonts w:ascii="EYInterstate Light" w:hAnsi="EYInterstate Light" w:cs="Arial"/>
                <w:color w:val="auto"/>
                <w:sz w:val="20"/>
                <w:szCs w:val="20"/>
              </w:rPr>
            </w:pPr>
            <w:r>
              <w:rPr>
                <w:rFonts w:ascii="EYInterstate Light" w:hAnsi="EYInterstate Light"/>
                <w:color w:val="auto"/>
                <w:sz w:val="20"/>
                <w:szCs w:val="20"/>
              </w:rPr>
              <w:t>Ключевой вопрос аудита</w:t>
            </w:r>
          </w:p>
        </w:tc>
        <w:tc>
          <w:tcPr>
            <w:tcW w:w="4820" w:type="dxa"/>
            <w:tcBorders>
              <w:top w:val="none" w:sz="0" w:space="0" w:color="auto"/>
              <w:bottom w:val="single" w:sz="6" w:space="0" w:color="auto"/>
              <w:right w:val="none" w:sz="0" w:space="0" w:color="auto"/>
            </w:tcBorders>
            <w:shd w:val="clear" w:color="auto" w:fill="auto"/>
            <w:vAlign w:val="bottom"/>
          </w:tcPr>
          <w:p w:rsidR="00FD06F3" w:rsidRDefault="0054425B">
            <w:pPr>
              <w:ind w:right="-119"/>
              <w:jc w:val="left"/>
              <w:cnfStyle w:val="100000000000" w:firstRow="1" w:lastRow="0" w:firstColumn="0" w:lastColumn="0" w:oddVBand="0" w:evenVBand="0" w:oddHBand="0" w:evenHBand="0" w:firstRowFirstColumn="0" w:firstRowLastColumn="0" w:lastRowFirstColumn="0" w:lastRowLastColumn="0"/>
              <w:rPr>
                <w:rFonts w:ascii="EYInterstate Light" w:hAnsi="EYInterstate Light" w:cs="Arial"/>
                <w:color w:val="auto"/>
                <w:sz w:val="20"/>
                <w:szCs w:val="20"/>
              </w:rPr>
            </w:pPr>
            <w:r>
              <w:rPr>
                <w:rFonts w:ascii="EYInterstate Light" w:hAnsi="EYInterstate Light"/>
                <w:color w:val="auto"/>
                <w:sz w:val="20"/>
                <w:szCs w:val="20"/>
              </w:rPr>
              <w:t>Как соответствующий ключевой вопрос был</w:t>
            </w:r>
            <w:r>
              <w:rPr>
                <w:rFonts w:ascii="EYInterstate Light" w:hAnsi="EYInterstate Light"/>
                <w:color w:val="auto"/>
                <w:sz w:val="20"/>
                <w:szCs w:val="20"/>
                <w:lang w:val="en-US"/>
              </w:rPr>
              <w:t> </w:t>
            </w:r>
            <w:r>
              <w:rPr>
                <w:rFonts w:ascii="EYInterstate Light" w:hAnsi="EYInterstate Light"/>
                <w:color w:val="auto"/>
                <w:sz w:val="20"/>
                <w:szCs w:val="20"/>
              </w:rPr>
              <w:t xml:space="preserve">рассмотрен в </w:t>
            </w:r>
            <w:r>
              <w:rPr>
                <w:rFonts w:ascii="EYInterstate Light" w:hAnsi="EYInterstate Light"/>
                <w:color w:val="auto"/>
                <w:sz w:val="20"/>
                <w:szCs w:val="20"/>
              </w:rPr>
              <w:t>ходе нашего аудита</w:t>
            </w:r>
          </w:p>
        </w:tc>
      </w:tr>
      <w:tr w:rsidR="00FD06F3" w:rsidTr="00FD06F3">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4819" w:type="dxa"/>
            <w:tcBorders>
              <w:top w:val="single" w:sz="6" w:space="0" w:color="auto"/>
              <w:left w:val="none" w:sz="0" w:space="0" w:color="auto"/>
              <w:bottom w:val="none" w:sz="0" w:space="0" w:color="auto"/>
            </w:tcBorders>
            <w:shd w:val="clear" w:color="auto" w:fill="auto"/>
            <w:vAlign w:val="bottom"/>
          </w:tcPr>
          <w:p w:rsidR="00FD06F3" w:rsidRDefault="0054425B">
            <w:pPr>
              <w:widowControl w:val="0"/>
              <w:ind w:left="-103"/>
              <w:jc w:val="left"/>
              <w:rPr>
                <w:rFonts w:ascii="EYInterstate Light" w:hAnsi="EYInterstate Light"/>
                <w:b w:val="0"/>
                <w:bCs w:val="0"/>
                <w:color w:val="auto"/>
                <w:sz w:val="20"/>
                <w:szCs w:val="20"/>
              </w:rPr>
            </w:pPr>
            <w:r>
              <w:rPr>
                <w:rFonts w:ascii="EYInterstate Light" w:hAnsi="EYInterstate Light"/>
                <w:b w:val="0"/>
                <w:bCs w:val="0"/>
                <w:color w:val="auto"/>
                <w:sz w:val="20"/>
                <w:szCs w:val="20"/>
              </w:rPr>
              <w:t xml:space="preserve"> </w:t>
            </w:r>
          </w:p>
        </w:tc>
        <w:tc>
          <w:tcPr>
            <w:tcW w:w="4820" w:type="dxa"/>
            <w:tcBorders>
              <w:top w:val="single" w:sz="6" w:space="0" w:color="auto"/>
              <w:bottom w:val="none" w:sz="0" w:space="0" w:color="auto"/>
              <w:right w:val="none" w:sz="0" w:space="0" w:color="auto"/>
            </w:tcBorders>
            <w:shd w:val="clear" w:color="auto" w:fill="auto"/>
            <w:vAlign w:val="bottom"/>
          </w:tcPr>
          <w:p w:rsidR="00FD06F3" w:rsidRDefault="00FD06F3">
            <w:pPr>
              <w:ind w:right="-119"/>
              <w:jc w:val="left"/>
              <w:cnfStyle w:val="100000000000" w:firstRow="1" w:lastRow="0" w:firstColumn="0" w:lastColumn="0" w:oddVBand="0" w:evenVBand="0" w:oddHBand="0" w:evenHBand="0" w:firstRowFirstColumn="0" w:firstRowLastColumn="0" w:lastRowFirstColumn="0" w:lastRowLastColumn="0"/>
              <w:rPr>
                <w:rFonts w:ascii="EYInterstate Light" w:hAnsi="EYInterstate Light"/>
                <w:b w:val="0"/>
                <w:bCs w:val="0"/>
                <w:color w:val="auto"/>
                <w:sz w:val="20"/>
                <w:szCs w:val="20"/>
              </w:rPr>
            </w:pPr>
          </w:p>
        </w:tc>
      </w:tr>
      <w:tr w:rsidR="00FD06F3" w:rsidTr="00FD06F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auto"/>
          </w:tcPr>
          <w:p w:rsidR="00FD06F3" w:rsidRDefault="0054425B">
            <w:pPr>
              <w:widowControl w:val="0"/>
              <w:ind w:left="-103" w:right="-119"/>
              <w:jc w:val="left"/>
              <w:rPr>
                <w:rFonts w:ascii="EYInterstate Light" w:hAnsi="EYInterstate Light" w:cs="Arial"/>
                <w:i/>
                <w:sz w:val="20"/>
                <w:szCs w:val="20"/>
              </w:rPr>
            </w:pPr>
            <w:r>
              <w:rPr>
                <w:rFonts w:ascii="EYInterstate Light" w:hAnsi="EYInterstate Light"/>
                <w:i/>
                <w:sz w:val="20"/>
                <w:szCs w:val="20"/>
              </w:rPr>
              <w:t>Раскрытие операций со связанными сторонами</w:t>
            </w:r>
          </w:p>
        </w:tc>
      </w:tr>
      <w:tr w:rsidR="00FD06F3" w:rsidTr="00FD06F3">
        <w:trPr>
          <w:trHeight w:val="20"/>
        </w:trPr>
        <w:tc>
          <w:tcPr>
            <w:cnfStyle w:val="001000000000" w:firstRow="0" w:lastRow="0" w:firstColumn="1" w:lastColumn="0" w:oddVBand="0" w:evenVBand="0" w:oddHBand="0" w:evenHBand="0" w:firstRowFirstColumn="0" w:firstRowLastColumn="0" w:lastRowFirstColumn="0" w:lastRowLastColumn="0"/>
            <w:tcW w:w="4819" w:type="dxa"/>
            <w:shd w:val="clear" w:color="auto" w:fill="auto"/>
          </w:tcPr>
          <w:p w:rsidR="00FD06F3" w:rsidRDefault="0054425B">
            <w:pPr>
              <w:widowControl w:val="0"/>
              <w:spacing w:before="120"/>
              <w:ind w:left="-103"/>
              <w:jc w:val="left"/>
              <w:rPr>
                <w:rFonts w:ascii="EYInterstate Light" w:hAnsi="EYInterstate Light"/>
                <w:b w:val="0"/>
                <w:sz w:val="20"/>
                <w:szCs w:val="20"/>
              </w:rPr>
            </w:pPr>
            <w:r>
              <w:rPr>
                <w:rFonts w:ascii="EYInterstate Light" w:hAnsi="EYInterstate Light"/>
                <w:b w:val="0"/>
                <w:sz w:val="20"/>
                <w:szCs w:val="20"/>
              </w:rPr>
              <w:t xml:space="preserve">Группа имеет существенный объем операций с компаниями группы «Гута», осуществляющей фактический контроль над ее деятельностью. </w:t>
            </w:r>
          </w:p>
          <w:p w:rsidR="00FD06F3" w:rsidRDefault="0054425B">
            <w:pPr>
              <w:widowControl w:val="0"/>
              <w:spacing w:before="120"/>
              <w:ind w:left="-103"/>
              <w:jc w:val="left"/>
              <w:rPr>
                <w:rFonts w:ascii="EYInterstate Light" w:hAnsi="EYInterstate Light"/>
                <w:b w:val="0"/>
                <w:sz w:val="20"/>
                <w:szCs w:val="20"/>
              </w:rPr>
            </w:pPr>
            <w:r>
              <w:rPr>
                <w:rFonts w:ascii="EYInterstate Light" w:hAnsi="EYInterstate Light"/>
                <w:b w:val="0"/>
                <w:sz w:val="20"/>
                <w:szCs w:val="20"/>
              </w:rPr>
              <w:t xml:space="preserve">Вследствие характера отношений между Группой и группой </w:t>
            </w:r>
            <w:r>
              <w:rPr>
                <w:rFonts w:ascii="EYInterstate Light" w:hAnsi="EYInterstate Light"/>
                <w:b w:val="0"/>
                <w:sz w:val="20"/>
                <w:szCs w:val="20"/>
              </w:rPr>
              <w:t>«Гута» условия этих операций отличаются от условий, обычно принятых для аналогичных операций с несвязанными сторонами. Эти условия могут быть изменены в любой момент времени исходя из интересов группы «Гута» и, таким образом, влиять на сопоставимость данны</w:t>
            </w:r>
            <w:r>
              <w:rPr>
                <w:rFonts w:ascii="EYInterstate Light" w:hAnsi="EYInterstate Light"/>
                <w:b w:val="0"/>
                <w:sz w:val="20"/>
                <w:szCs w:val="20"/>
              </w:rPr>
              <w:t>х в консолидированной финансовой отчетности различных периодов. Следовательно, мы считаем данный вопрос ключевым для нашего аудита Группы.</w:t>
            </w:r>
          </w:p>
          <w:p w:rsidR="00FD06F3" w:rsidRDefault="0054425B">
            <w:pPr>
              <w:spacing w:before="120"/>
              <w:ind w:left="-103"/>
              <w:jc w:val="left"/>
              <w:rPr>
                <w:rFonts w:ascii="EYInterstate Light" w:hAnsi="EYInterstate Light"/>
                <w:b w:val="0"/>
                <w:sz w:val="20"/>
                <w:szCs w:val="20"/>
              </w:rPr>
            </w:pPr>
            <w:r>
              <w:rPr>
                <w:rFonts w:ascii="EYInterstate Light" w:hAnsi="EYInterstate Light"/>
                <w:b w:val="0"/>
                <w:sz w:val="20"/>
                <w:szCs w:val="20"/>
              </w:rPr>
              <w:t>Раскрытие информации о связанных сторонах представлено в Примечании 18 к консолидированной финансовой отчетности.</w:t>
            </w:r>
          </w:p>
          <w:p w:rsidR="00FD06F3" w:rsidRDefault="00FD06F3">
            <w:pPr>
              <w:widowControl w:val="0"/>
              <w:spacing w:before="120"/>
              <w:ind w:left="-103"/>
              <w:jc w:val="left"/>
              <w:rPr>
                <w:rFonts w:ascii="EYInterstate Light" w:hAnsi="EYInterstate Light" w:cs="Arial"/>
                <w:b w:val="0"/>
                <w:sz w:val="20"/>
                <w:szCs w:val="20"/>
              </w:rPr>
            </w:pPr>
          </w:p>
        </w:tc>
        <w:tc>
          <w:tcPr>
            <w:tcW w:w="4820" w:type="dxa"/>
            <w:shd w:val="clear" w:color="auto" w:fill="auto"/>
          </w:tcPr>
          <w:p w:rsidR="00FD06F3" w:rsidRDefault="0054425B">
            <w:pPr>
              <w:spacing w:before="120"/>
              <w:ind w:right="-119"/>
              <w:jc w:val="left"/>
              <w:cnfStyle w:val="000000000000" w:firstRow="0" w:lastRow="0" w:firstColumn="0" w:lastColumn="0" w:oddVBand="0" w:evenVBand="0" w:oddHBand="0" w:evenHBand="0" w:firstRowFirstColumn="0" w:firstRowLastColumn="0" w:lastRowFirstColumn="0" w:lastRowLastColumn="0"/>
              <w:rPr>
                <w:rFonts w:ascii="EYInterstate Light" w:hAnsi="EYInterstate Light" w:cs="Arial"/>
                <w:sz w:val="20"/>
                <w:szCs w:val="20"/>
              </w:rPr>
            </w:pPr>
            <w:r>
              <w:rPr>
                <w:rFonts w:ascii="EYInterstate Light" w:hAnsi="EYInterstate Light" w:cs="Arial"/>
                <w:sz w:val="20"/>
                <w:szCs w:val="20"/>
              </w:rPr>
              <w:t xml:space="preserve">В рамках наших аудиторских процедур мы проанализировали процесс выявления и раскрытия сделок со связанными сторонами. </w:t>
            </w:r>
          </w:p>
          <w:p w:rsidR="00FD06F3" w:rsidRDefault="0054425B">
            <w:pPr>
              <w:spacing w:before="120"/>
              <w:ind w:right="-119"/>
              <w:jc w:val="left"/>
              <w:cnfStyle w:val="000000000000" w:firstRow="0" w:lastRow="0" w:firstColumn="0" w:lastColumn="0" w:oddVBand="0" w:evenVBand="0" w:oddHBand="0" w:evenHBand="0" w:firstRowFirstColumn="0" w:firstRowLastColumn="0" w:lastRowFirstColumn="0" w:lastRowLastColumn="0"/>
              <w:rPr>
                <w:rFonts w:ascii="EYInterstate Light" w:hAnsi="EYInterstate Light" w:cs="Arial"/>
                <w:sz w:val="20"/>
                <w:szCs w:val="20"/>
              </w:rPr>
            </w:pPr>
            <w:r>
              <w:rPr>
                <w:rFonts w:ascii="EYInterstate Light" w:hAnsi="EYInterstate Light" w:cs="Arial"/>
                <w:sz w:val="20"/>
                <w:szCs w:val="20"/>
              </w:rPr>
              <w:t>Мы получили список связанных сторон и проанализировали операции с ними, отраженные в консолидированной финансовой отчетности, а также ост</w:t>
            </w:r>
            <w:r>
              <w:rPr>
                <w:rFonts w:ascii="EYInterstate Light" w:hAnsi="EYInterstate Light" w:cs="Arial"/>
                <w:sz w:val="20"/>
                <w:szCs w:val="20"/>
              </w:rPr>
              <w:t>атки на конец года по счетам расчетов со связанными сторонами. Мы изучили договоры со связанными сторонами, сравнили информацию о стоимости и периоде возникновения транзакций в учетных записях с соответствующими подтверждающими документами. Мы проанализиро</w:t>
            </w:r>
            <w:r>
              <w:rPr>
                <w:rFonts w:ascii="EYInterstate Light" w:hAnsi="EYInterstate Light" w:cs="Arial"/>
                <w:sz w:val="20"/>
                <w:szCs w:val="20"/>
              </w:rPr>
              <w:t xml:space="preserve">вали прочие операции Группы на предмет специфических условий, свидетельствующих о связанности контрагентов по этим операциям с Группой, уделяя особое внимание тем, которые впервые появились в текущем периоде. </w:t>
            </w:r>
          </w:p>
          <w:p w:rsidR="00FD06F3" w:rsidRDefault="0054425B">
            <w:pPr>
              <w:spacing w:before="120"/>
              <w:ind w:right="-119"/>
              <w:jc w:val="left"/>
              <w:cnfStyle w:val="000000000000" w:firstRow="0" w:lastRow="0" w:firstColumn="0" w:lastColumn="0" w:oddVBand="0" w:evenVBand="0" w:oddHBand="0" w:evenHBand="0" w:firstRowFirstColumn="0" w:firstRowLastColumn="0" w:lastRowFirstColumn="0" w:lastRowLastColumn="0"/>
              <w:rPr>
                <w:rFonts w:ascii="EYInterstate Light" w:hAnsi="EYInterstate Light" w:cs="Arial"/>
                <w:bCs/>
                <w:sz w:val="20"/>
                <w:szCs w:val="20"/>
              </w:rPr>
            </w:pPr>
            <w:r>
              <w:rPr>
                <w:rFonts w:ascii="EYInterstate Light" w:hAnsi="EYInterstate Light" w:cs="Arial"/>
                <w:sz w:val="20"/>
                <w:szCs w:val="20"/>
              </w:rPr>
              <w:t xml:space="preserve">Мы получили подтверждения от связанных сторон </w:t>
            </w:r>
            <w:r>
              <w:rPr>
                <w:rFonts w:ascii="EYInterstate Light" w:hAnsi="EYInterstate Light" w:cs="Arial"/>
                <w:sz w:val="20"/>
                <w:szCs w:val="20"/>
              </w:rPr>
              <w:t xml:space="preserve">по операциям и остаткам, а также акты сверки взаиморасчетов, и проанализировали раскрытие информации о связанных сторонах и об операциях со связанными сторонами в консолидированной финансовой отчетности. </w:t>
            </w:r>
          </w:p>
        </w:tc>
      </w:tr>
    </w:tbl>
    <w:p w:rsidR="00FD06F3" w:rsidRDefault="0054425B">
      <w:pPr>
        <w:widowControl w:val="0"/>
        <w:jc w:val="left"/>
        <w:rPr>
          <w:rFonts w:ascii="EYInterstate Light" w:hAnsi="EYInterstate Light"/>
          <w:b/>
          <w:i/>
          <w:sz w:val="22"/>
          <w:szCs w:val="24"/>
          <w:lang w:eastAsia="en-US"/>
        </w:rPr>
      </w:pPr>
      <w:r>
        <w:rPr>
          <w:rFonts w:ascii="EYInterstate Light" w:hAnsi="EYInterstate Light"/>
          <w:b/>
          <w:i/>
          <w:sz w:val="22"/>
          <w:szCs w:val="24"/>
          <w:lang w:eastAsia="en-US"/>
        </w:rPr>
        <w:br w:type="page"/>
      </w:r>
    </w:p>
    <w:p w:rsidR="00FD06F3" w:rsidRDefault="0054425B">
      <w:pPr>
        <w:widowControl w:val="0"/>
        <w:jc w:val="left"/>
        <w:rPr>
          <w:rFonts w:ascii="EYInterstate" w:hAnsi="EYInterstate"/>
          <w:b/>
          <w:i/>
          <w:sz w:val="22"/>
          <w:szCs w:val="22"/>
          <w:lang w:eastAsia="en-US"/>
        </w:rPr>
      </w:pPr>
      <w:r>
        <w:rPr>
          <w:rFonts w:ascii="EYInterstate" w:hAnsi="EYInterstate"/>
          <w:b/>
          <w:i/>
          <w:sz w:val="22"/>
          <w:szCs w:val="22"/>
          <w:lang w:eastAsia="en-US"/>
        </w:rPr>
        <w:lastRenderedPageBreak/>
        <w:t>Прочая информация, включенная в Годовой отчет ПА</w:t>
      </w:r>
      <w:r>
        <w:rPr>
          <w:rFonts w:ascii="EYInterstate" w:hAnsi="EYInterstate"/>
          <w:b/>
          <w:i/>
          <w:sz w:val="22"/>
          <w:szCs w:val="22"/>
          <w:lang w:eastAsia="en-US"/>
        </w:rPr>
        <w:t xml:space="preserve">О «Московская кондитерская фабрика «Красный Октябрь» за 2017 год </w:t>
      </w:r>
    </w:p>
    <w:p w:rsidR="00FD06F3" w:rsidRDefault="00FD06F3">
      <w:pPr>
        <w:autoSpaceDE w:val="0"/>
        <w:autoSpaceDN w:val="0"/>
        <w:adjustRightInd w:val="0"/>
        <w:jc w:val="left"/>
        <w:rPr>
          <w:rFonts w:ascii="EYInterstate Light" w:hAnsi="EYInterstate Light"/>
          <w:b/>
          <w:sz w:val="18"/>
          <w:szCs w:val="18"/>
          <w:lang w:eastAsia="en-US"/>
        </w:rPr>
      </w:pPr>
    </w:p>
    <w:p w:rsidR="00FD06F3" w:rsidRDefault="0054425B">
      <w:pPr>
        <w:widowControl w:val="0"/>
        <w:jc w:val="left"/>
        <w:rPr>
          <w:rFonts w:ascii="EYInterstate Light" w:hAnsi="EYInterstate Light"/>
          <w:sz w:val="22"/>
          <w:szCs w:val="22"/>
          <w:lang w:bidi="ru-RU"/>
        </w:rPr>
      </w:pPr>
      <w:r>
        <w:rPr>
          <w:rFonts w:ascii="EYInterstate Light" w:hAnsi="EYInterstate Light"/>
          <w:sz w:val="22"/>
          <w:szCs w:val="22"/>
          <w:lang w:bidi="ru-RU"/>
        </w:rPr>
        <w:t>Прочая информация включает информацию, содержащуюся в Годовом отчете ПАО «Московская кондитерская фабрика «Красный Октябрь», но не включает консолидированную финансовую отчетность и наше ау</w:t>
      </w:r>
      <w:r>
        <w:rPr>
          <w:rFonts w:ascii="EYInterstate Light" w:hAnsi="EYInterstate Light"/>
          <w:sz w:val="22"/>
          <w:szCs w:val="22"/>
          <w:lang w:bidi="ru-RU"/>
        </w:rPr>
        <w:t xml:space="preserve">диторское заключение о ней. Ответственность за прочую информацию несет руководство. </w:t>
      </w:r>
    </w:p>
    <w:p w:rsidR="00FD06F3" w:rsidRDefault="00FD06F3">
      <w:pPr>
        <w:widowControl w:val="0"/>
        <w:jc w:val="left"/>
        <w:rPr>
          <w:rFonts w:ascii="EYInterstate Light" w:hAnsi="EYInterstate Light"/>
          <w:sz w:val="18"/>
          <w:szCs w:val="18"/>
          <w:lang w:bidi="ru-RU"/>
        </w:rPr>
      </w:pPr>
    </w:p>
    <w:p w:rsidR="00FD06F3" w:rsidRDefault="0054425B">
      <w:pPr>
        <w:widowControl w:val="0"/>
        <w:jc w:val="left"/>
        <w:rPr>
          <w:rFonts w:ascii="EYInterstate Light" w:hAnsi="EYInterstate Light"/>
          <w:sz w:val="22"/>
          <w:szCs w:val="22"/>
          <w:lang w:bidi="ru-RU"/>
        </w:rPr>
      </w:pPr>
      <w:r>
        <w:rPr>
          <w:rFonts w:ascii="EYInterstate Light" w:hAnsi="EYInterstate Light"/>
          <w:sz w:val="22"/>
          <w:szCs w:val="22"/>
          <w:lang w:bidi="ru-RU"/>
        </w:rPr>
        <w:t xml:space="preserve">Наше мнение о консолидированной финансовой отчетности не распространяется на прочую информацию, и мы не предоставляем вывода, выражающего уверенность в какой-либо форме в отношении данной информации. </w:t>
      </w:r>
    </w:p>
    <w:p w:rsidR="00FD06F3" w:rsidRDefault="00FD06F3">
      <w:pPr>
        <w:widowControl w:val="0"/>
        <w:jc w:val="left"/>
        <w:rPr>
          <w:rFonts w:ascii="EYInterstate Light" w:hAnsi="EYInterstate Light"/>
          <w:sz w:val="18"/>
          <w:szCs w:val="18"/>
          <w:lang w:bidi="ru-RU"/>
        </w:rPr>
      </w:pPr>
    </w:p>
    <w:p w:rsidR="00FD06F3" w:rsidRDefault="0054425B">
      <w:pPr>
        <w:widowControl w:val="0"/>
        <w:jc w:val="left"/>
        <w:rPr>
          <w:rFonts w:ascii="EYInterstate Light" w:hAnsi="EYInterstate Light"/>
          <w:spacing w:val="-2"/>
          <w:sz w:val="22"/>
          <w:szCs w:val="22"/>
          <w:lang w:bidi="ru-RU"/>
        </w:rPr>
      </w:pPr>
      <w:r>
        <w:rPr>
          <w:rFonts w:ascii="EYInterstate Light" w:hAnsi="EYInterstate Light"/>
          <w:spacing w:val="-2"/>
          <w:sz w:val="22"/>
          <w:szCs w:val="22"/>
          <w:lang w:bidi="ru-RU"/>
        </w:rPr>
        <w:t>В связи с проведением нами аудита консолидированной фи</w:t>
      </w:r>
      <w:r>
        <w:rPr>
          <w:rFonts w:ascii="EYInterstate Light" w:hAnsi="EYInterstate Light"/>
          <w:spacing w:val="-2"/>
          <w:sz w:val="22"/>
          <w:szCs w:val="22"/>
          <w:lang w:bidi="ru-RU"/>
        </w:rPr>
        <w:t>нансовой отчетности наша обязанность заключается в ознакомлении с прочей информацией, когда она будет нам предоставлена, и рассмотрении при этом вопроса, имеются ли существенные несоответствия между прочей информацией и консолидированной финансовой отчетно</w:t>
      </w:r>
      <w:r>
        <w:rPr>
          <w:rFonts w:ascii="EYInterstate Light" w:hAnsi="EYInterstate Light"/>
          <w:spacing w:val="-2"/>
          <w:sz w:val="22"/>
          <w:szCs w:val="22"/>
          <w:lang w:bidi="ru-RU"/>
        </w:rPr>
        <w:t>стью или нашими знаниями, полученными в ходе аудита, и не содержит ли прочая информация иных существенных искажений. Если на основании проведенной нами работы мы приходим к выводу о том, что такая прочая информация содержит существенное искажение, мы обяза</w:t>
      </w:r>
      <w:r>
        <w:rPr>
          <w:rFonts w:ascii="EYInterstate Light" w:hAnsi="EYInterstate Light"/>
          <w:spacing w:val="-2"/>
          <w:sz w:val="22"/>
          <w:szCs w:val="22"/>
          <w:lang w:bidi="ru-RU"/>
        </w:rPr>
        <w:t xml:space="preserve">ны сообщить об этом факте. </w:t>
      </w:r>
    </w:p>
    <w:p w:rsidR="00FD06F3" w:rsidRDefault="00FD06F3">
      <w:pPr>
        <w:jc w:val="left"/>
        <w:rPr>
          <w:rFonts w:ascii="EYInterstate Light" w:hAnsi="EYInterstate Light"/>
          <w:sz w:val="18"/>
          <w:szCs w:val="18"/>
          <w:lang w:eastAsia="en-US"/>
        </w:rPr>
      </w:pPr>
    </w:p>
    <w:p w:rsidR="00FD06F3" w:rsidRDefault="0054425B">
      <w:pPr>
        <w:widowControl w:val="0"/>
        <w:jc w:val="left"/>
        <w:rPr>
          <w:rFonts w:ascii="EYInterstate" w:hAnsi="EYInterstate"/>
          <w:b/>
          <w:i/>
          <w:sz w:val="22"/>
          <w:szCs w:val="22"/>
          <w:lang w:eastAsia="en-US"/>
        </w:rPr>
      </w:pPr>
      <w:r>
        <w:rPr>
          <w:rFonts w:ascii="EYInterstate" w:hAnsi="EYInterstate"/>
          <w:b/>
          <w:i/>
          <w:sz w:val="22"/>
          <w:szCs w:val="22"/>
          <w:lang w:eastAsia="en-US"/>
        </w:rPr>
        <w:t>Ответственность руководства и Совета директоров за консолидированную финансовую отчетность</w:t>
      </w:r>
    </w:p>
    <w:p w:rsidR="00FD06F3" w:rsidRDefault="00FD06F3">
      <w:pPr>
        <w:jc w:val="left"/>
        <w:rPr>
          <w:rFonts w:ascii="EYInterstate Light" w:hAnsi="EYInterstate Light"/>
          <w:sz w:val="18"/>
          <w:szCs w:val="18"/>
          <w:lang w:bidi="ru-RU"/>
        </w:rPr>
      </w:pPr>
    </w:p>
    <w:p w:rsidR="00FD06F3" w:rsidRDefault="0054425B">
      <w:pPr>
        <w:jc w:val="left"/>
        <w:rPr>
          <w:rFonts w:ascii="EYInterstate Light" w:hAnsi="EYInterstate Light"/>
          <w:sz w:val="22"/>
          <w:szCs w:val="22"/>
          <w:lang w:bidi="ru-RU"/>
        </w:rPr>
      </w:pPr>
      <w:r>
        <w:rPr>
          <w:rFonts w:ascii="EYInterstate Light" w:hAnsi="EYInterstate Light"/>
          <w:sz w:val="22"/>
          <w:szCs w:val="22"/>
          <w:lang w:bidi="ru-RU"/>
        </w:rPr>
        <w:t xml:space="preserve">Руководство несет ответственность за подготовку и достоверное представление указанной консолидированной финансовой отчетности в соответствии с МСФО и за систему внутреннего контроля, которую руководство считает необходимой для подготовки консолидированной </w:t>
      </w:r>
      <w:r>
        <w:rPr>
          <w:rFonts w:ascii="EYInterstate Light" w:hAnsi="EYInterstate Light"/>
          <w:sz w:val="22"/>
          <w:szCs w:val="22"/>
          <w:lang w:bidi="ru-RU"/>
        </w:rPr>
        <w:t xml:space="preserve">финансовой отчетности, не содержащей существенных искажений вследствие недобросовестных действий или ошибок. </w:t>
      </w:r>
    </w:p>
    <w:p w:rsidR="00FD06F3" w:rsidRDefault="00FD06F3">
      <w:pPr>
        <w:jc w:val="left"/>
        <w:rPr>
          <w:rFonts w:ascii="EYInterstate Light" w:hAnsi="EYInterstate Light"/>
          <w:sz w:val="18"/>
          <w:szCs w:val="18"/>
          <w:lang w:bidi="ru-RU"/>
        </w:rPr>
      </w:pPr>
    </w:p>
    <w:p w:rsidR="00FD06F3" w:rsidRDefault="0054425B">
      <w:pPr>
        <w:widowControl w:val="0"/>
        <w:ind w:right="-57"/>
        <w:jc w:val="left"/>
        <w:rPr>
          <w:rFonts w:ascii="EYInterstate Light" w:hAnsi="EYInterstate Light"/>
          <w:spacing w:val="-2"/>
          <w:sz w:val="22"/>
          <w:szCs w:val="22"/>
          <w:lang w:bidi="ru-RU"/>
        </w:rPr>
      </w:pPr>
      <w:r>
        <w:rPr>
          <w:rFonts w:ascii="EYInterstate Light" w:hAnsi="EYInterstate Light"/>
          <w:spacing w:val="-2"/>
          <w:sz w:val="22"/>
          <w:szCs w:val="22"/>
          <w:lang w:bidi="ru-RU"/>
        </w:rPr>
        <w:t xml:space="preserve">При подготовке консолидированной финансовой отчетности руководство несет ответственность за оценку способности Группы продолжать непрерывно свою </w:t>
      </w:r>
      <w:r>
        <w:rPr>
          <w:rFonts w:ascii="EYInterstate Light" w:hAnsi="EYInterstate Light"/>
          <w:spacing w:val="-2"/>
          <w:sz w:val="22"/>
          <w:szCs w:val="22"/>
          <w:lang w:bidi="ru-RU"/>
        </w:rPr>
        <w:t>деятельность, за раскрытие в соответствующих случаях сведений, относящихся к непрерывности деятельности, и за составление отчетности на основе допущения о непрерывности деятельности, за исключением случаев, когда руководство намеревается ликвидировать Груп</w:t>
      </w:r>
      <w:r>
        <w:rPr>
          <w:rFonts w:ascii="EYInterstate Light" w:hAnsi="EYInterstate Light"/>
          <w:spacing w:val="-2"/>
          <w:sz w:val="22"/>
          <w:szCs w:val="22"/>
          <w:lang w:bidi="ru-RU"/>
        </w:rPr>
        <w:t>пу, прекратить ее деятельность или когда у него нет реальной альтернативы таким действиям.</w:t>
      </w:r>
    </w:p>
    <w:p w:rsidR="00FD06F3" w:rsidRDefault="00FD06F3">
      <w:pPr>
        <w:widowControl w:val="0"/>
        <w:jc w:val="left"/>
        <w:rPr>
          <w:rFonts w:ascii="EYInterstate Light" w:hAnsi="EYInterstate Light"/>
          <w:sz w:val="18"/>
          <w:szCs w:val="18"/>
          <w:lang w:bidi="ru-RU"/>
        </w:rPr>
      </w:pPr>
    </w:p>
    <w:p w:rsidR="00FD06F3" w:rsidRDefault="0054425B">
      <w:pPr>
        <w:widowControl w:val="0"/>
        <w:jc w:val="left"/>
        <w:rPr>
          <w:rFonts w:ascii="EYInterstate Light" w:hAnsi="EYInterstate Light"/>
          <w:sz w:val="22"/>
          <w:szCs w:val="22"/>
          <w:lang w:bidi="ru-RU"/>
        </w:rPr>
      </w:pPr>
      <w:r>
        <w:rPr>
          <w:rFonts w:ascii="EYInterstate Light" w:hAnsi="EYInterstate Light"/>
          <w:sz w:val="22"/>
          <w:szCs w:val="22"/>
          <w:lang w:bidi="ru-RU"/>
        </w:rPr>
        <w:t>Совет директоров несет ответственность за надзор за процессом подготовки финансовой отчетности Группы.</w:t>
      </w:r>
    </w:p>
    <w:p w:rsidR="00FD06F3" w:rsidRDefault="00FD06F3">
      <w:pPr>
        <w:widowControl w:val="0"/>
        <w:jc w:val="left"/>
        <w:rPr>
          <w:rFonts w:ascii="EYInterstate Light" w:hAnsi="EYInterstate Light"/>
          <w:sz w:val="18"/>
          <w:szCs w:val="18"/>
          <w:lang w:bidi="ru-RU"/>
        </w:rPr>
      </w:pPr>
    </w:p>
    <w:p w:rsidR="00FD06F3" w:rsidRDefault="0054425B">
      <w:pPr>
        <w:widowControl w:val="0"/>
        <w:jc w:val="left"/>
        <w:rPr>
          <w:rFonts w:ascii="EYInterstate" w:hAnsi="EYInterstate"/>
          <w:b/>
          <w:i/>
          <w:sz w:val="22"/>
          <w:szCs w:val="22"/>
          <w:lang w:eastAsia="en-US"/>
        </w:rPr>
      </w:pPr>
      <w:r>
        <w:rPr>
          <w:rFonts w:ascii="EYInterstate" w:hAnsi="EYInterstate"/>
          <w:b/>
          <w:i/>
          <w:sz w:val="22"/>
          <w:szCs w:val="22"/>
          <w:lang w:eastAsia="en-US"/>
        </w:rPr>
        <w:t>Ответственность аудитора за аудит консолидированной финансов</w:t>
      </w:r>
      <w:r>
        <w:rPr>
          <w:rFonts w:ascii="EYInterstate" w:hAnsi="EYInterstate"/>
          <w:b/>
          <w:i/>
          <w:sz w:val="22"/>
          <w:szCs w:val="22"/>
          <w:lang w:eastAsia="en-US"/>
        </w:rPr>
        <w:t xml:space="preserve">ой отчетности </w:t>
      </w:r>
    </w:p>
    <w:p w:rsidR="00FD06F3" w:rsidRDefault="00FD06F3">
      <w:pPr>
        <w:shd w:val="clear" w:color="auto" w:fill="FFFFFF"/>
        <w:jc w:val="left"/>
        <w:rPr>
          <w:rFonts w:ascii="EYInterstate Light" w:hAnsi="EYInterstate Light"/>
          <w:sz w:val="18"/>
          <w:szCs w:val="18"/>
          <w:lang w:eastAsia="en-US"/>
        </w:rPr>
      </w:pPr>
    </w:p>
    <w:p w:rsidR="00FD06F3" w:rsidRDefault="0054425B">
      <w:pPr>
        <w:shd w:val="clear" w:color="auto" w:fill="FFFFFF"/>
        <w:jc w:val="left"/>
        <w:rPr>
          <w:rFonts w:ascii="EYInterstate Light" w:hAnsi="EYInterstate Light"/>
          <w:sz w:val="22"/>
          <w:szCs w:val="22"/>
          <w:lang w:eastAsia="en-US"/>
        </w:rPr>
      </w:pPr>
      <w:r>
        <w:rPr>
          <w:rFonts w:ascii="EYInterstate Light" w:hAnsi="EYInterstate Light"/>
          <w:sz w:val="22"/>
          <w:szCs w:val="22"/>
          <w:lang w:eastAsia="en-US"/>
        </w:rPr>
        <w:t>Наши цели заключаются в получении разумной уверенности в том, что консолидированная финансовая отчетность в целом не содержит существенных искажений вследствие недобросовестных действий или ошибок, и в выпуске аудиторского заключения, содер</w:t>
      </w:r>
      <w:r>
        <w:rPr>
          <w:rFonts w:ascii="EYInterstate Light" w:hAnsi="EYInterstate Light"/>
          <w:sz w:val="22"/>
          <w:szCs w:val="22"/>
          <w:lang w:eastAsia="en-US"/>
        </w:rPr>
        <w:t>жащего наше мнение. Разумная уверенность представляет собой высокую степень уверенности, но не является гарантией того, что аудит, проведенный в соответствии с Международными стандартами аудита, всегда выявит существенное искажение при его наличии. Искажен</w:t>
      </w:r>
      <w:r>
        <w:rPr>
          <w:rFonts w:ascii="EYInterstate Light" w:hAnsi="EYInterstate Light"/>
          <w:sz w:val="22"/>
          <w:szCs w:val="22"/>
          <w:lang w:eastAsia="en-US"/>
        </w:rPr>
        <w:t>ия могут быть результатом недобросовестных действий или ошибок и считаются существенными, если можно обоснованно предположить, что по отдельности или в совокупности они могли бы повлиять на экономические решения пользователей, принимаемые на основе этой ко</w:t>
      </w:r>
      <w:r>
        <w:rPr>
          <w:rFonts w:ascii="EYInterstate Light" w:hAnsi="EYInterstate Light"/>
          <w:sz w:val="22"/>
          <w:szCs w:val="22"/>
          <w:lang w:eastAsia="en-US"/>
        </w:rPr>
        <w:t>нсолидированной финансовой отчетности.</w:t>
      </w:r>
    </w:p>
    <w:p w:rsidR="00FD06F3" w:rsidRDefault="0054425B">
      <w:pPr>
        <w:jc w:val="left"/>
        <w:rPr>
          <w:rFonts w:ascii="EYInterstate Light" w:hAnsi="EYInterstate Light"/>
          <w:sz w:val="22"/>
          <w:szCs w:val="22"/>
          <w:lang w:eastAsia="en-US"/>
        </w:rPr>
      </w:pPr>
      <w:r>
        <w:rPr>
          <w:rFonts w:ascii="EYInterstate Light" w:hAnsi="EYInterstate Light"/>
          <w:sz w:val="22"/>
          <w:szCs w:val="22"/>
          <w:lang w:eastAsia="en-US"/>
        </w:rPr>
        <w:lastRenderedPageBreak/>
        <w:t>В рамках аудита, проводимого в соответствии с Международными стандартами аудита, мы применяем профессиональное суждение и сохраняем профессиональный скептицизм на протяжении всего аудита. Кроме того, мы выполняем след</w:t>
      </w:r>
      <w:r>
        <w:rPr>
          <w:rFonts w:ascii="EYInterstate Light" w:hAnsi="EYInterstate Light"/>
          <w:sz w:val="22"/>
          <w:szCs w:val="22"/>
          <w:lang w:eastAsia="en-US"/>
        </w:rPr>
        <w:t xml:space="preserve">ующее: </w:t>
      </w:r>
    </w:p>
    <w:p w:rsidR="00FD06F3" w:rsidRDefault="0054425B">
      <w:pPr>
        <w:numPr>
          <w:ilvl w:val="0"/>
          <w:numId w:val="43"/>
        </w:numPr>
        <w:spacing w:before="240"/>
        <w:ind w:left="567" w:right="-57" w:hanging="567"/>
        <w:jc w:val="left"/>
        <w:rPr>
          <w:rFonts w:ascii="EYInterstate Light" w:hAnsi="EYInterstate Light"/>
          <w:sz w:val="22"/>
          <w:szCs w:val="22"/>
          <w:lang w:eastAsia="en-US"/>
        </w:rPr>
      </w:pPr>
      <w:r>
        <w:rPr>
          <w:rFonts w:ascii="EYInterstate Light" w:hAnsi="EYInterstate Light"/>
          <w:sz w:val="22"/>
          <w:szCs w:val="22"/>
          <w:lang w:eastAsia="en-US"/>
        </w:rPr>
        <w:t>выявляем и оцениваем риски существенного искажения консолидированной финансовой отчетности вследствие недобросовестных действий или ошибок;</w:t>
      </w:r>
      <w:r>
        <w:rPr>
          <w:rFonts w:ascii="EYInterstate Light" w:hAnsi="EYInterstate Light"/>
          <w:sz w:val="22"/>
          <w:szCs w:val="24"/>
          <w:lang w:eastAsia="en-US"/>
        </w:rPr>
        <w:t xml:space="preserve"> разрабатываем и проводим аудиторские процедуры в ответ на эти риски; получаем аудиторские доказательства, яв</w:t>
      </w:r>
      <w:r>
        <w:rPr>
          <w:rFonts w:ascii="EYInterstate Light" w:hAnsi="EYInterstate Light"/>
          <w:sz w:val="22"/>
          <w:szCs w:val="24"/>
          <w:lang w:eastAsia="en-US"/>
        </w:rPr>
        <w:t xml:space="preserve">ляющиеся достаточными и надлежащими, чтобы </w:t>
      </w:r>
      <w:r>
        <w:rPr>
          <w:rFonts w:ascii="EYInterstate Light" w:hAnsi="EYInterstate Light"/>
          <w:sz w:val="22"/>
          <w:szCs w:val="22"/>
          <w:lang w:eastAsia="en-US"/>
        </w:rPr>
        <w:t>служить основанием для выражения нашего мнения. Риск необнаружения существенного искажения в результате недобросовестных действий выше, чем риск необнаружения существенного искажения в результате ошибок, так как н</w:t>
      </w:r>
      <w:r>
        <w:rPr>
          <w:rFonts w:ascii="EYInterstate Light" w:hAnsi="EYInterstate Light"/>
          <w:sz w:val="22"/>
          <w:szCs w:val="22"/>
          <w:lang w:eastAsia="en-US"/>
        </w:rPr>
        <w:t>едобросовестные действия могут включать сговор, подлог, умышленный пропуск, искаженное представление информации или действия в обход системы внутреннего контроля;</w:t>
      </w:r>
    </w:p>
    <w:p w:rsidR="00FD06F3" w:rsidRDefault="0054425B">
      <w:pPr>
        <w:widowControl w:val="0"/>
        <w:numPr>
          <w:ilvl w:val="0"/>
          <w:numId w:val="43"/>
        </w:numPr>
        <w:spacing w:before="240"/>
        <w:ind w:left="567" w:hanging="567"/>
        <w:jc w:val="left"/>
        <w:rPr>
          <w:rFonts w:ascii="EYInterstate Light" w:hAnsi="EYInterstate Light"/>
          <w:sz w:val="22"/>
          <w:szCs w:val="22"/>
          <w:lang w:eastAsia="en-US"/>
        </w:rPr>
      </w:pPr>
      <w:r>
        <w:rPr>
          <w:rFonts w:ascii="EYInterstate Light" w:hAnsi="EYInterstate Light"/>
          <w:sz w:val="22"/>
          <w:szCs w:val="22"/>
          <w:lang w:eastAsia="en-US"/>
        </w:rPr>
        <w:t>получаем понимание системы внутреннего контроля, имеющей значение для аудита, с целью разрабо</w:t>
      </w:r>
      <w:r>
        <w:rPr>
          <w:rFonts w:ascii="EYInterstate Light" w:hAnsi="EYInterstate Light"/>
          <w:sz w:val="22"/>
          <w:szCs w:val="22"/>
          <w:lang w:eastAsia="en-US"/>
        </w:rPr>
        <w:t xml:space="preserve">тки аудиторских процедур, соответствующих обстоятельствам, но не с целью выражения мнения об эффективности системы внутреннего контроля Группы; </w:t>
      </w:r>
    </w:p>
    <w:p w:rsidR="00FD06F3" w:rsidRDefault="0054425B">
      <w:pPr>
        <w:widowControl w:val="0"/>
        <w:numPr>
          <w:ilvl w:val="0"/>
          <w:numId w:val="43"/>
        </w:numPr>
        <w:spacing w:before="240"/>
        <w:ind w:left="567" w:hanging="567"/>
        <w:jc w:val="left"/>
        <w:rPr>
          <w:rFonts w:ascii="EYInterstate Light" w:hAnsi="EYInterstate Light"/>
          <w:sz w:val="22"/>
          <w:szCs w:val="22"/>
          <w:lang w:eastAsia="en-US"/>
        </w:rPr>
      </w:pPr>
      <w:r>
        <w:rPr>
          <w:rFonts w:ascii="EYInterstate Light" w:hAnsi="EYInterstate Light"/>
          <w:sz w:val="22"/>
          <w:szCs w:val="22"/>
          <w:lang w:eastAsia="en-US"/>
        </w:rPr>
        <w:t>оцениваем надлежащий характер применяемой учетной политики и обоснованность определенных руководством бухгалтер</w:t>
      </w:r>
      <w:r>
        <w:rPr>
          <w:rFonts w:ascii="EYInterstate Light" w:hAnsi="EYInterstate Light"/>
          <w:sz w:val="22"/>
          <w:szCs w:val="22"/>
          <w:lang w:eastAsia="en-US"/>
        </w:rPr>
        <w:t>ских оценок и раскрытия соответствующей информации;</w:t>
      </w:r>
    </w:p>
    <w:p w:rsidR="00FD06F3" w:rsidRDefault="0054425B">
      <w:pPr>
        <w:widowControl w:val="0"/>
        <w:numPr>
          <w:ilvl w:val="0"/>
          <w:numId w:val="43"/>
        </w:numPr>
        <w:spacing w:before="240"/>
        <w:ind w:left="567" w:hanging="567"/>
        <w:jc w:val="left"/>
        <w:rPr>
          <w:rFonts w:ascii="EYInterstate Light" w:hAnsi="EYInterstate Light"/>
          <w:sz w:val="22"/>
          <w:szCs w:val="22"/>
          <w:lang w:eastAsia="en-US"/>
        </w:rPr>
      </w:pPr>
      <w:r>
        <w:rPr>
          <w:rFonts w:ascii="EYInterstate Light" w:hAnsi="EYInterstate Light"/>
          <w:sz w:val="22"/>
          <w:szCs w:val="22"/>
          <w:lang w:eastAsia="en-US"/>
        </w:rPr>
        <w:t>делаем вывод о правомерности применения руководством допущения о непрерывности деятельности, и, на основании полученных аудиторских доказательств, вывод о том, имеется ли существенная неопределенность в с</w:t>
      </w:r>
      <w:r>
        <w:rPr>
          <w:rFonts w:ascii="EYInterstate Light" w:hAnsi="EYInterstate Light"/>
          <w:sz w:val="22"/>
          <w:szCs w:val="22"/>
          <w:lang w:eastAsia="en-US"/>
        </w:rPr>
        <w:t>вязи с событиями или условиями, которые могут вызвать значительные сомнения в способности Группы продолжать непрерывно свою деятельность. Если мы приходим к выводу о наличии существенной неопределенности, мы должны привлечь внимание в нашем аудиторском зак</w:t>
      </w:r>
      <w:r>
        <w:rPr>
          <w:rFonts w:ascii="EYInterstate Light" w:hAnsi="EYInterstate Light"/>
          <w:sz w:val="22"/>
          <w:szCs w:val="22"/>
          <w:lang w:eastAsia="en-US"/>
        </w:rPr>
        <w:t>лючении к соответствующему раскрытию информации в консолидированной финансовой отчетности или, если такое раскрытие информации является ненадлежащим, модифицировать наше мнение. Наши выводы основаны на аудиторских доказательствах, полученных до даты нашего</w:t>
      </w:r>
      <w:r>
        <w:rPr>
          <w:rFonts w:ascii="EYInterstate Light" w:hAnsi="EYInterstate Light"/>
          <w:sz w:val="22"/>
          <w:szCs w:val="22"/>
          <w:lang w:eastAsia="en-US"/>
        </w:rPr>
        <w:t xml:space="preserve"> аудиторского заключения. Однако будущие события или условия могут привести к тому, что Группа утратит способность продолжать непрерывно свою деятельность;</w:t>
      </w:r>
    </w:p>
    <w:p w:rsidR="00FD06F3" w:rsidRDefault="0054425B">
      <w:pPr>
        <w:widowControl w:val="0"/>
        <w:numPr>
          <w:ilvl w:val="0"/>
          <w:numId w:val="43"/>
        </w:numPr>
        <w:spacing w:before="240"/>
        <w:ind w:left="567" w:hanging="567"/>
        <w:jc w:val="left"/>
        <w:rPr>
          <w:rFonts w:ascii="EYInterstate Light" w:hAnsi="EYInterstate Light"/>
          <w:sz w:val="22"/>
          <w:szCs w:val="22"/>
          <w:lang w:eastAsia="en-US"/>
        </w:rPr>
      </w:pPr>
      <w:r>
        <w:rPr>
          <w:rFonts w:ascii="EYInterstate Light" w:hAnsi="EYInterstate Light"/>
          <w:sz w:val="22"/>
          <w:szCs w:val="22"/>
          <w:lang w:eastAsia="en-US"/>
        </w:rPr>
        <w:t xml:space="preserve">проводим оценку представления консолидированной финансовой отчетности в целом, ее структуры и </w:t>
      </w:r>
      <w:r>
        <w:rPr>
          <w:rFonts w:ascii="EYInterstate Light" w:hAnsi="EYInterstate Light"/>
          <w:sz w:val="22"/>
          <w:szCs w:val="22"/>
          <w:lang w:eastAsia="en-US"/>
        </w:rPr>
        <w:t>содержания, включая раскрытие информации, а также того, представляет ли консолидированная финансовая отчетность лежащие в ее основе операции и события так, чтобы было обеспечено их достоверное представление;</w:t>
      </w:r>
    </w:p>
    <w:p w:rsidR="00FD06F3" w:rsidRDefault="0054425B">
      <w:pPr>
        <w:widowControl w:val="0"/>
        <w:numPr>
          <w:ilvl w:val="0"/>
          <w:numId w:val="43"/>
        </w:numPr>
        <w:spacing w:before="240"/>
        <w:ind w:left="567" w:hanging="567"/>
        <w:jc w:val="left"/>
        <w:rPr>
          <w:rFonts w:ascii="EYInterstate Light" w:hAnsi="EYInterstate Light"/>
          <w:sz w:val="22"/>
          <w:szCs w:val="22"/>
          <w:lang w:eastAsia="en-US"/>
        </w:rPr>
      </w:pPr>
      <w:r>
        <w:rPr>
          <w:rFonts w:ascii="EYInterstate Light" w:hAnsi="EYInterstate Light"/>
          <w:sz w:val="22"/>
          <w:szCs w:val="22"/>
          <w:lang w:eastAsia="en-US"/>
        </w:rPr>
        <w:t>получаем достаточные надлежащие аудиторские дока</w:t>
      </w:r>
      <w:r>
        <w:rPr>
          <w:rFonts w:ascii="EYInterstate Light" w:hAnsi="EYInterstate Light"/>
          <w:sz w:val="22"/>
          <w:szCs w:val="22"/>
          <w:lang w:eastAsia="en-US"/>
        </w:rPr>
        <w:t>зательства в отношении финансовой информации организаций и хозяйственной деятельности внутри Группы, чтобы выразить мнение о консолидированной финансовой отчетности. Мы отвечаем за общее руководство, контроль и проведение аудита Группы. Мы являемся единоли</w:t>
      </w:r>
      <w:r>
        <w:rPr>
          <w:rFonts w:ascii="EYInterstate Light" w:hAnsi="EYInterstate Light"/>
          <w:sz w:val="22"/>
          <w:szCs w:val="22"/>
          <w:lang w:eastAsia="en-US"/>
        </w:rPr>
        <w:t>чно ответственными за наше аудиторское мнение.</w:t>
      </w:r>
    </w:p>
    <w:p w:rsidR="00FD06F3" w:rsidRDefault="00FD06F3">
      <w:pPr>
        <w:widowControl w:val="0"/>
        <w:spacing w:before="120"/>
        <w:ind w:left="207"/>
        <w:jc w:val="left"/>
        <w:rPr>
          <w:rFonts w:ascii="EYInterstate Light" w:hAnsi="EYInterstate Light"/>
          <w:sz w:val="22"/>
          <w:szCs w:val="22"/>
          <w:lang w:eastAsia="en-US"/>
        </w:rPr>
      </w:pPr>
    </w:p>
    <w:p w:rsidR="00FD06F3" w:rsidRDefault="0054425B">
      <w:pPr>
        <w:jc w:val="left"/>
        <w:rPr>
          <w:rFonts w:ascii="EYInterstate Light" w:hAnsi="EYInterstate Light"/>
          <w:sz w:val="22"/>
          <w:szCs w:val="22"/>
          <w:lang w:eastAsia="en-US"/>
        </w:rPr>
      </w:pPr>
      <w:r>
        <w:rPr>
          <w:rFonts w:ascii="EYInterstate Light" w:hAnsi="EYInterstate Light"/>
          <w:sz w:val="22"/>
          <w:szCs w:val="22"/>
          <w:lang w:eastAsia="en-US"/>
        </w:rPr>
        <w:br w:type="page"/>
      </w:r>
    </w:p>
    <w:p w:rsidR="00FD06F3" w:rsidRDefault="0054425B">
      <w:pPr>
        <w:widowControl w:val="0"/>
        <w:jc w:val="left"/>
        <w:rPr>
          <w:rFonts w:ascii="EYInterstate Light" w:hAnsi="EYInterstate Light"/>
          <w:sz w:val="22"/>
          <w:szCs w:val="22"/>
          <w:lang w:eastAsia="en-US"/>
        </w:rPr>
      </w:pPr>
      <w:r>
        <w:rPr>
          <w:rFonts w:ascii="EYInterstate Light" w:hAnsi="EYInterstate Light"/>
          <w:sz w:val="22"/>
          <w:szCs w:val="22"/>
          <w:lang w:eastAsia="en-US"/>
        </w:rPr>
        <w:lastRenderedPageBreak/>
        <w:t>Мы осуществляем информационное взаимодействие с Советом директоров, доводя до его сведения, помимо прочего, информацию о запланированном объеме и сроках аудита, а также о существенных замечаниях по результа</w:t>
      </w:r>
      <w:r>
        <w:rPr>
          <w:rFonts w:ascii="EYInterstate Light" w:hAnsi="EYInterstate Light"/>
          <w:sz w:val="22"/>
          <w:szCs w:val="22"/>
          <w:lang w:eastAsia="en-US"/>
        </w:rPr>
        <w:t xml:space="preserve">там аудита, в том числе о значительных недостатках системы внутреннего контроля, если мы выявляем таковые в процессе аудита. </w:t>
      </w:r>
    </w:p>
    <w:p w:rsidR="00FD06F3" w:rsidRDefault="00FD06F3">
      <w:pPr>
        <w:widowControl w:val="0"/>
        <w:jc w:val="left"/>
        <w:rPr>
          <w:rFonts w:ascii="EYInterstate Light" w:hAnsi="EYInterstate Light"/>
          <w:sz w:val="22"/>
          <w:szCs w:val="22"/>
          <w:lang w:eastAsia="en-US"/>
        </w:rPr>
      </w:pPr>
    </w:p>
    <w:p w:rsidR="00FD06F3" w:rsidRDefault="0054425B">
      <w:pPr>
        <w:widowControl w:val="0"/>
        <w:jc w:val="left"/>
        <w:rPr>
          <w:rFonts w:ascii="EYInterstate Light" w:hAnsi="EYInterstate Light"/>
          <w:sz w:val="22"/>
          <w:szCs w:val="22"/>
          <w:lang w:eastAsia="en-US"/>
        </w:rPr>
      </w:pPr>
      <w:r>
        <w:rPr>
          <w:rFonts w:ascii="EYInterstate Light" w:hAnsi="EYInterstate Light"/>
          <w:sz w:val="22"/>
          <w:szCs w:val="22"/>
          <w:lang w:eastAsia="en-US"/>
        </w:rPr>
        <w:t>Мы также предоставляем Совету директоров заявление о том, что мы соблюдали все соответствующие этические требования в отношении независимости и информировали его обо всех взаимоотношениях и прочих вопросах, которые можно обоснованно считать оказывающими вл</w:t>
      </w:r>
      <w:r>
        <w:rPr>
          <w:rFonts w:ascii="EYInterstate Light" w:hAnsi="EYInterstate Light"/>
          <w:sz w:val="22"/>
          <w:szCs w:val="22"/>
          <w:lang w:eastAsia="en-US"/>
        </w:rPr>
        <w:t xml:space="preserve">ияние на независимость аудитора, а в необходимых случаях – о соответствующих мерах предосторожности. </w:t>
      </w:r>
    </w:p>
    <w:p w:rsidR="00FD06F3" w:rsidRDefault="00FD06F3">
      <w:pPr>
        <w:widowControl w:val="0"/>
        <w:jc w:val="left"/>
        <w:rPr>
          <w:rFonts w:ascii="EYInterstate Light" w:hAnsi="EYInterstate Light"/>
          <w:sz w:val="22"/>
          <w:szCs w:val="22"/>
          <w:lang w:eastAsia="en-US"/>
        </w:rPr>
      </w:pPr>
    </w:p>
    <w:p w:rsidR="00FD06F3" w:rsidRDefault="0054425B">
      <w:pPr>
        <w:widowControl w:val="0"/>
        <w:jc w:val="left"/>
        <w:rPr>
          <w:rFonts w:ascii="EYInterstate Light" w:hAnsi="EYInterstate Light"/>
          <w:sz w:val="22"/>
          <w:szCs w:val="22"/>
          <w:lang w:eastAsia="en-US"/>
        </w:rPr>
      </w:pPr>
      <w:r>
        <w:rPr>
          <w:rFonts w:ascii="EYInterstate Light" w:hAnsi="EYInterstate Light"/>
          <w:sz w:val="22"/>
          <w:szCs w:val="22"/>
          <w:lang w:eastAsia="en-US"/>
        </w:rPr>
        <w:t>Из тех вопросов, которые мы довели до сведения Совета директоров, мы определяем вопросы, которые были наиболее значимыми для аудита консолидированной фин</w:t>
      </w:r>
      <w:r>
        <w:rPr>
          <w:rFonts w:ascii="EYInterstate Light" w:hAnsi="EYInterstate Light"/>
          <w:sz w:val="22"/>
          <w:szCs w:val="22"/>
          <w:lang w:eastAsia="en-US"/>
        </w:rPr>
        <w:t>ансовой отчетности за текущий период и которые, следовательно, являются ключевыми вопросами аудита. Мы описываем эти вопросы в нашем аудиторском заключении, кроме случаев, когда публичное раскрытие информации об этих вопросах запрещено законом или норматив</w:t>
      </w:r>
      <w:r>
        <w:rPr>
          <w:rFonts w:ascii="EYInterstate Light" w:hAnsi="EYInterstate Light"/>
          <w:sz w:val="22"/>
          <w:szCs w:val="22"/>
          <w:lang w:eastAsia="en-US"/>
        </w:rPr>
        <w:t>ным актом, или когда в крайне редких случаях мы приходим к выводу о том, что информация о каком-либо вопросе не должна быть сообщена в нашем заключении, так как можно обоснованно предположить, что отрицательные последствия сообщения такой информации превыс</w:t>
      </w:r>
      <w:r>
        <w:rPr>
          <w:rFonts w:ascii="EYInterstate Light" w:hAnsi="EYInterstate Light"/>
          <w:sz w:val="22"/>
          <w:szCs w:val="22"/>
          <w:lang w:eastAsia="en-US"/>
        </w:rPr>
        <w:t xml:space="preserve">ят общественно значимую пользу от ее сообщения. </w:t>
      </w:r>
    </w:p>
    <w:p w:rsidR="00FD06F3" w:rsidRDefault="00FD06F3">
      <w:pPr>
        <w:widowControl w:val="0"/>
        <w:jc w:val="left"/>
        <w:rPr>
          <w:rFonts w:ascii="EYInterstate Light" w:hAnsi="EYInterstate Light"/>
          <w:sz w:val="22"/>
          <w:szCs w:val="22"/>
          <w:lang w:eastAsia="en-US"/>
        </w:rPr>
      </w:pPr>
    </w:p>
    <w:p w:rsidR="00FD06F3" w:rsidRDefault="0054425B">
      <w:pPr>
        <w:widowControl w:val="0"/>
        <w:jc w:val="left"/>
        <w:rPr>
          <w:rFonts w:ascii="EYInterstate Light" w:hAnsi="EYInterstate Light"/>
          <w:sz w:val="22"/>
          <w:szCs w:val="22"/>
          <w:lang w:eastAsia="en-US"/>
        </w:rPr>
      </w:pPr>
      <w:r>
        <w:rPr>
          <w:rFonts w:ascii="EYInterstate Light" w:hAnsi="EYInterstate Light"/>
          <w:sz w:val="22"/>
          <w:szCs w:val="22"/>
          <w:lang w:eastAsia="en-US"/>
        </w:rPr>
        <w:t>Руководитель, ответственный за проведение аудита, по результатам которого выпущено настоящее аудиторское заключение независимого аудитора, – А.Б. Хорович.</w:t>
      </w:r>
    </w:p>
    <w:p w:rsidR="00FD06F3" w:rsidRDefault="00FD06F3">
      <w:pPr>
        <w:widowControl w:val="0"/>
        <w:jc w:val="left"/>
        <w:rPr>
          <w:rFonts w:ascii="EYInterstate Light" w:hAnsi="EYInterstate Light"/>
          <w:sz w:val="22"/>
          <w:szCs w:val="24"/>
          <w:lang w:eastAsia="en-US"/>
        </w:rPr>
      </w:pPr>
    </w:p>
    <w:p w:rsidR="00FD06F3" w:rsidRDefault="00FD06F3">
      <w:pPr>
        <w:widowControl w:val="0"/>
        <w:jc w:val="left"/>
        <w:rPr>
          <w:rFonts w:ascii="EYInterstate Light" w:hAnsi="EYInterstate Light"/>
          <w:sz w:val="22"/>
          <w:szCs w:val="24"/>
          <w:lang w:eastAsia="en-US"/>
        </w:rPr>
      </w:pPr>
    </w:p>
    <w:p w:rsidR="00FD06F3" w:rsidRDefault="00FD06F3">
      <w:pPr>
        <w:widowControl w:val="0"/>
        <w:jc w:val="left"/>
        <w:rPr>
          <w:rFonts w:ascii="EYInterstate Light" w:hAnsi="EYInterstate Light"/>
          <w:sz w:val="22"/>
          <w:szCs w:val="24"/>
          <w:lang w:eastAsia="en-US"/>
        </w:rPr>
      </w:pPr>
    </w:p>
    <w:p w:rsidR="00FD06F3" w:rsidRDefault="00FD06F3">
      <w:pPr>
        <w:widowControl w:val="0"/>
        <w:jc w:val="left"/>
        <w:rPr>
          <w:rFonts w:ascii="EYInterstate Light" w:hAnsi="EYInterstate Light"/>
          <w:sz w:val="22"/>
          <w:szCs w:val="24"/>
          <w:lang w:eastAsia="en-US"/>
        </w:rPr>
      </w:pPr>
    </w:p>
    <w:p w:rsidR="00FD06F3" w:rsidRDefault="00FD06F3">
      <w:pPr>
        <w:widowControl w:val="0"/>
        <w:jc w:val="left"/>
        <w:rPr>
          <w:rFonts w:ascii="EYInterstate Light" w:hAnsi="EYInterstate Light"/>
          <w:sz w:val="22"/>
          <w:szCs w:val="24"/>
          <w:lang w:eastAsia="en-US"/>
        </w:rPr>
      </w:pPr>
    </w:p>
    <w:p w:rsidR="00FD06F3" w:rsidRDefault="00FD06F3">
      <w:pPr>
        <w:jc w:val="left"/>
        <w:rPr>
          <w:rFonts w:ascii="EYInterstate Light" w:hAnsi="EYInterstate Light"/>
          <w:sz w:val="22"/>
          <w:szCs w:val="22"/>
          <w:lang w:eastAsia="en-US"/>
        </w:rPr>
      </w:pPr>
    </w:p>
    <w:p w:rsidR="00FD06F3" w:rsidRDefault="00FD06F3">
      <w:pPr>
        <w:jc w:val="left"/>
        <w:rPr>
          <w:rFonts w:ascii="EYInterstate Light" w:hAnsi="EYInterstate Light"/>
          <w:sz w:val="22"/>
          <w:szCs w:val="22"/>
          <w:lang w:eastAsia="en-US"/>
        </w:rPr>
      </w:pPr>
    </w:p>
    <w:p w:rsidR="00FD06F3" w:rsidRDefault="0054425B">
      <w:pPr>
        <w:jc w:val="left"/>
        <w:rPr>
          <w:rFonts w:ascii="EYInterstate Light" w:hAnsi="EYInterstate Light"/>
          <w:sz w:val="22"/>
          <w:szCs w:val="22"/>
          <w:lang w:eastAsia="en-US"/>
        </w:rPr>
      </w:pPr>
      <w:r>
        <w:rPr>
          <w:rFonts w:ascii="EYInterstate Light" w:hAnsi="EYInterstate Light"/>
          <w:sz w:val="22"/>
          <w:szCs w:val="22"/>
          <w:lang w:eastAsia="en-US"/>
        </w:rPr>
        <w:t>А.Б. Хорович</w:t>
      </w:r>
    </w:p>
    <w:p w:rsidR="00FD06F3" w:rsidRDefault="0054425B">
      <w:pPr>
        <w:jc w:val="left"/>
        <w:rPr>
          <w:rFonts w:ascii="EYInterstate Light" w:hAnsi="EYInterstate Light"/>
          <w:sz w:val="22"/>
          <w:szCs w:val="22"/>
          <w:lang w:eastAsia="en-US"/>
        </w:rPr>
      </w:pPr>
      <w:r>
        <w:rPr>
          <w:rFonts w:ascii="EYInterstate Light" w:hAnsi="EYInterstate Light"/>
          <w:sz w:val="22"/>
          <w:szCs w:val="22"/>
          <w:lang w:eastAsia="en-US"/>
        </w:rPr>
        <w:t xml:space="preserve">Партнер </w:t>
      </w:r>
    </w:p>
    <w:p w:rsidR="00FD06F3" w:rsidRDefault="0054425B">
      <w:pPr>
        <w:jc w:val="left"/>
        <w:rPr>
          <w:rFonts w:ascii="EYInterstate Light" w:hAnsi="EYInterstate Light"/>
          <w:sz w:val="22"/>
          <w:szCs w:val="22"/>
          <w:lang w:eastAsia="en-US"/>
        </w:rPr>
      </w:pPr>
      <w:r>
        <w:rPr>
          <w:rFonts w:ascii="EYInterstate Light" w:hAnsi="EYInterstate Light"/>
          <w:sz w:val="22"/>
          <w:szCs w:val="22"/>
          <w:lang w:eastAsia="en-US"/>
        </w:rPr>
        <w:t xml:space="preserve">ООО «Эрнст энд Янг» </w:t>
      </w:r>
    </w:p>
    <w:p w:rsidR="00FD06F3" w:rsidRDefault="00FD06F3">
      <w:pPr>
        <w:jc w:val="left"/>
        <w:rPr>
          <w:rFonts w:ascii="EYInterstate Light" w:hAnsi="EYInterstate Light"/>
          <w:sz w:val="22"/>
          <w:szCs w:val="22"/>
          <w:lang w:eastAsia="en-US"/>
        </w:rPr>
      </w:pPr>
    </w:p>
    <w:p w:rsidR="00FD06F3" w:rsidRDefault="0054425B">
      <w:pPr>
        <w:jc w:val="left"/>
        <w:rPr>
          <w:rFonts w:ascii="EYInterstate Light" w:hAnsi="EYInterstate Light"/>
          <w:sz w:val="22"/>
          <w:szCs w:val="22"/>
          <w:lang w:eastAsia="en-US"/>
        </w:rPr>
      </w:pPr>
      <w:r>
        <w:rPr>
          <w:rFonts w:ascii="EYInterstate Light" w:hAnsi="EYInterstate Light"/>
          <w:sz w:val="22"/>
          <w:szCs w:val="22"/>
          <w:lang w:eastAsia="en-US"/>
        </w:rPr>
        <w:t>27 апреля 2018 г.</w:t>
      </w:r>
    </w:p>
    <w:p w:rsidR="00FD06F3" w:rsidRDefault="00FD06F3">
      <w:pPr>
        <w:ind w:right="6"/>
        <w:jc w:val="left"/>
        <w:rPr>
          <w:rFonts w:ascii="EYInterstate Light" w:hAnsi="EYInterstate Light"/>
          <w:sz w:val="22"/>
          <w:szCs w:val="22"/>
          <w:lang w:eastAsia="en-US"/>
        </w:rPr>
      </w:pPr>
    </w:p>
    <w:p w:rsidR="00FD06F3" w:rsidRDefault="00FD06F3">
      <w:pPr>
        <w:ind w:right="6"/>
        <w:jc w:val="left"/>
        <w:rPr>
          <w:rFonts w:ascii="EYInterstate Light" w:hAnsi="EYInterstate Light"/>
          <w:sz w:val="22"/>
          <w:szCs w:val="22"/>
          <w:lang w:eastAsia="en-US"/>
        </w:rPr>
      </w:pPr>
    </w:p>
    <w:p w:rsidR="00FD06F3" w:rsidRDefault="0054425B">
      <w:pPr>
        <w:ind w:right="6"/>
        <w:jc w:val="left"/>
        <w:rPr>
          <w:rFonts w:ascii="EYInterstate" w:hAnsi="EYInterstate"/>
          <w:b/>
          <w:i/>
          <w:sz w:val="18"/>
          <w:szCs w:val="18"/>
          <w:lang w:eastAsia="en-US"/>
        </w:rPr>
      </w:pPr>
      <w:r>
        <w:rPr>
          <w:rFonts w:ascii="EYInterstate" w:hAnsi="EYInterstate"/>
          <w:b/>
          <w:i/>
          <w:sz w:val="18"/>
          <w:szCs w:val="18"/>
          <w:lang w:eastAsia="en-US"/>
        </w:rPr>
        <w:t>Сведения об аудируемом лице</w:t>
      </w:r>
    </w:p>
    <w:p w:rsidR="00FD06F3" w:rsidRDefault="00FD06F3">
      <w:pPr>
        <w:ind w:right="6"/>
        <w:jc w:val="left"/>
        <w:rPr>
          <w:rFonts w:ascii="EYInterstate Light" w:hAnsi="EYInterstate Light"/>
          <w:sz w:val="18"/>
          <w:szCs w:val="18"/>
          <w:lang w:eastAsia="en-US"/>
        </w:rPr>
      </w:pPr>
    </w:p>
    <w:p w:rsidR="00FD06F3" w:rsidRDefault="0054425B">
      <w:pPr>
        <w:ind w:right="6"/>
        <w:jc w:val="left"/>
        <w:rPr>
          <w:rFonts w:ascii="EYInterstate Light" w:hAnsi="EYInterstate Light"/>
          <w:sz w:val="18"/>
          <w:szCs w:val="22"/>
          <w:lang w:eastAsia="en-US"/>
        </w:rPr>
      </w:pPr>
      <w:r>
        <w:rPr>
          <w:rFonts w:ascii="EYInterstate Light" w:hAnsi="EYInterstate Light"/>
          <w:sz w:val="18"/>
          <w:szCs w:val="18"/>
          <w:lang w:eastAsia="en-US"/>
        </w:rPr>
        <w:t xml:space="preserve">Наименование: </w:t>
      </w:r>
      <w:r>
        <w:rPr>
          <w:rFonts w:ascii="EYInterstate Light" w:hAnsi="EYInterstate Light"/>
          <w:sz w:val="18"/>
          <w:szCs w:val="22"/>
          <w:lang w:eastAsia="en-US"/>
        </w:rPr>
        <w:t>ПАО «Московская кондитерская фабрика «Красный октябрь»</w:t>
      </w:r>
    </w:p>
    <w:p w:rsidR="00FD06F3" w:rsidRDefault="0054425B">
      <w:pPr>
        <w:overflowPunct w:val="0"/>
        <w:autoSpaceDE w:val="0"/>
        <w:autoSpaceDN w:val="0"/>
        <w:adjustRightInd w:val="0"/>
        <w:ind w:right="6"/>
        <w:jc w:val="left"/>
        <w:textAlignment w:val="baseline"/>
        <w:rPr>
          <w:rFonts w:ascii="EYInterstate Light" w:hAnsi="EYInterstate Light"/>
          <w:sz w:val="18"/>
          <w:szCs w:val="22"/>
          <w:lang w:eastAsia="en-US"/>
        </w:rPr>
      </w:pPr>
      <w:r>
        <w:rPr>
          <w:rFonts w:ascii="EYInterstate Light" w:hAnsi="EYInterstate Light"/>
          <w:sz w:val="18"/>
          <w:szCs w:val="22"/>
          <w:lang w:eastAsia="en-US"/>
        </w:rPr>
        <w:t xml:space="preserve">Запись внесена в Единый государственный реестр юридических лиц 25 сентября 2002 г. и присвоен государственный регистрационный номер </w:t>
      </w:r>
      <w:r>
        <w:rPr>
          <w:rFonts w:ascii="EYInterstate Light" w:hAnsi="EYInterstate Light" w:cs="EYInterstate Light"/>
          <w:sz w:val="18"/>
          <w:szCs w:val="22"/>
          <w:lang w:eastAsia="en-US"/>
        </w:rPr>
        <w:t>1027700247618.</w:t>
      </w:r>
      <w:r>
        <w:rPr>
          <w:rFonts w:ascii="EYInterstate Light" w:hAnsi="EYInterstate Light"/>
          <w:sz w:val="18"/>
          <w:szCs w:val="22"/>
          <w:lang w:eastAsia="en-US"/>
        </w:rPr>
        <w:t xml:space="preserve"> </w:t>
      </w:r>
    </w:p>
    <w:p w:rsidR="00FD06F3" w:rsidRDefault="0054425B">
      <w:pPr>
        <w:overflowPunct w:val="0"/>
        <w:autoSpaceDE w:val="0"/>
        <w:autoSpaceDN w:val="0"/>
        <w:adjustRightInd w:val="0"/>
        <w:ind w:right="6"/>
        <w:jc w:val="left"/>
        <w:textAlignment w:val="baseline"/>
        <w:rPr>
          <w:rFonts w:ascii="EYInterstate Light" w:hAnsi="EYInterstate Light"/>
          <w:sz w:val="18"/>
          <w:szCs w:val="18"/>
          <w:lang w:eastAsia="en-US"/>
        </w:rPr>
      </w:pPr>
      <w:r>
        <w:rPr>
          <w:rFonts w:ascii="EYInterstate Light" w:hAnsi="EYInterstate Light"/>
          <w:sz w:val="18"/>
          <w:szCs w:val="18"/>
          <w:lang w:eastAsia="en-US"/>
        </w:rPr>
        <w:t>Местонахождение: 107140, Россия, г. Москва, ул. Малая Красносельская, д. 7, стр. 24.</w:t>
      </w:r>
    </w:p>
    <w:p w:rsidR="00FD06F3" w:rsidRDefault="00FD06F3">
      <w:pPr>
        <w:ind w:right="6"/>
        <w:jc w:val="left"/>
        <w:rPr>
          <w:rFonts w:ascii="EYInterstate Light" w:hAnsi="EYInterstate Light"/>
          <w:sz w:val="18"/>
          <w:szCs w:val="18"/>
          <w:lang w:eastAsia="en-US"/>
        </w:rPr>
      </w:pPr>
    </w:p>
    <w:p w:rsidR="00FD06F3" w:rsidRDefault="0054425B">
      <w:pPr>
        <w:tabs>
          <w:tab w:val="left" w:pos="620"/>
        </w:tabs>
        <w:overflowPunct w:val="0"/>
        <w:autoSpaceDE w:val="0"/>
        <w:autoSpaceDN w:val="0"/>
        <w:adjustRightInd w:val="0"/>
        <w:ind w:right="6"/>
        <w:jc w:val="left"/>
        <w:textAlignment w:val="baseline"/>
        <w:rPr>
          <w:rFonts w:ascii="EYInterstate" w:hAnsi="EYInterstate"/>
          <w:b/>
          <w:i/>
          <w:sz w:val="18"/>
          <w:szCs w:val="18"/>
          <w:lang w:eastAsia="en-US"/>
        </w:rPr>
      </w:pPr>
      <w:r>
        <w:rPr>
          <w:rFonts w:ascii="EYInterstate" w:hAnsi="EYInterstate"/>
          <w:b/>
          <w:i/>
          <w:sz w:val="18"/>
          <w:szCs w:val="18"/>
          <w:lang w:eastAsia="en-US"/>
        </w:rPr>
        <w:t>Сведения об аудиторе</w:t>
      </w:r>
    </w:p>
    <w:p w:rsidR="00FD06F3" w:rsidRDefault="00FD06F3">
      <w:pPr>
        <w:tabs>
          <w:tab w:val="left" w:pos="620"/>
        </w:tabs>
        <w:overflowPunct w:val="0"/>
        <w:autoSpaceDE w:val="0"/>
        <w:autoSpaceDN w:val="0"/>
        <w:adjustRightInd w:val="0"/>
        <w:ind w:right="6"/>
        <w:jc w:val="left"/>
        <w:textAlignment w:val="baseline"/>
        <w:rPr>
          <w:rFonts w:ascii="EYInterstate Light" w:hAnsi="EYInterstate Light"/>
          <w:b/>
          <w:sz w:val="18"/>
          <w:szCs w:val="18"/>
          <w:lang w:eastAsia="en-US"/>
        </w:rPr>
      </w:pPr>
    </w:p>
    <w:p w:rsidR="00FD06F3" w:rsidRDefault="0054425B">
      <w:pPr>
        <w:ind w:right="6"/>
        <w:jc w:val="left"/>
        <w:rPr>
          <w:rFonts w:ascii="EYInterstate Light" w:hAnsi="EYInterstate Light"/>
          <w:sz w:val="18"/>
          <w:szCs w:val="18"/>
          <w:lang w:eastAsia="en-US"/>
        </w:rPr>
      </w:pPr>
      <w:r>
        <w:rPr>
          <w:rFonts w:ascii="EYInterstate Light" w:hAnsi="EYInterstate Light"/>
          <w:sz w:val="18"/>
          <w:szCs w:val="18"/>
          <w:lang w:eastAsia="en-US"/>
        </w:rPr>
        <w:t>Наименование: ООО «Эрнст энд Янг»</w:t>
      </w:r>
    </w:p>
    <w:p w:rsidR="00FD06F3" w:rsidRDefault="0054425B">
      <w:pPr>
        <w:ind w:right="6"/>
        <w:jc w:val="left"/>
        <w:rPr>
          <w:rFonts w:ascii="EYInterstate Light" w:hAnsi="EYInterstate Light"/>
          <w:sz w:val="18"/>
          <w:szCs w:val="18"/>
          <w:lang w:eastAsia="en-US"/>
        </w:rPr>
      </w:pPr>
      <w:r>
        <w:rPr>
          <w:rFonts w:ascii="EYInterstate Light" w:hAnsi="EYInterstate Light"/>
          <w:sz w:val="18"/>
          <w:szCs w:val="18"/>
          <w:lang w:eastAsia="en-US"/>
        </w:rPr>
        <w:t>Запись внесена в Единый государственный реестр юридических лиц 5 декабря 2002 г. и присвоен госуда</w:t>
      </w:r>
      <w:r>
        <w:rPr>
          <w:rFonts w:ascii="EYInterstate Light" w:hAnsi="EYInterstate Light"/>
          <w:sz w:val="18"/>
          <w:szCs w:val="18"/>
          <w:lang w:eastAsia="en-US"/>
        </w:rPr>
        <w:t>рственный регистрационный номер 1027739707203.</w:t>
      </w:r>
    </w:p>
    <w:p w:rsidR="00FD06F3" w:rsidRDefault="0054425B">
      <w:pPr>
        <w:ind w:right="6"/>
        <w:jc w:val="left"/>
        <w:rPr>
          <w:rFonts w:ascii="EYInterstate Light" w:hAnsi="EYInterstate Light"/>
          <w:sz w:val="18"/>
          <w:szCs w:val="24"/>
          <w:lang w:eastAsia="en-US"/>
        </w:rPr>
      </w:pPr>
      <w:r>
        <w:rPr>
          <w:rFonts w:ascii="EYInterstate Light" w:hAnsi="EYInterstate Light"/>
          <w:sz w:val="18"/>
          <w:szCs w:val="18"/>
          <w:lang w:eastAsia="en-US"/>
        </w:rPr>
        <w:t xml:space="preserve">Местонахождение: </w:t>
      </w:r>
      <w:r>
        <w:rPr>
          <w:rFonts w:ascii="EYInterstate Light" w:hAnsi="EYInterstate Light"/>
          <w:sz w:val="18"/>
          <w:szCs w:val="24"/>
          <w:lang w:eastAsia="en-US"/>
        </w:rPr>
        <w:t>115035, Россия, г. Москва, Садовническая наб., д. 77, стр. 1</w:t>
      </w:r>
      <w:r>
        <w:rPr>
          <w:rFonts w:ascii="EYInterstate Light" w:hAnsi="EYInterstate Light"/>
          <w:sz w:val="18"/>
          <w:szCs w:val="18"/>
          <w:lang w:eastAsia="en-US"/>
        </w:rPr>
        <w:t>.</w:t>
      </w:r>
    </w:p>
    <w:p w:rsidR="00FD06F3" w:rsidRDefault="0054425B">
      <w:pPr>
        <w:ind w:right="6"/>
        <w:jc w:val="left"/>
        <w:rPr>
          <w:rFonts w:ascii="EYInterstate Light" w:hAnsi="EYInterstate Light"/>
          <w:sz w:val="18"/>
          <w:szCs w:val="18"/>
          <w:lang w:eastAsia="en-US"/>
        </w:rPr>
      </w:pPr>
      <w:r>
        <w:rPr>
          <w:rFonts w:ascii="EYInterstate Light" w:hAnsi="EYInterstate Light"/>
          <w:sz w:val="18"/>
          <w:szCs w:val="18"/>
          <w:lang w:eastAsia="en-US"/>
        </w:rPr>
        <w:t>ООО «Эрнст энд Янг» является членом Саморегулируемой организации аудиторов «Российский Союз аудиторов» (Ассоциация) (СРО РСА). ООО</w:t>
      </w:r>
      <w:r>
        <w:rPr>
          <w:rFonts w:ascii="EYInterstate Light" w:hAnsi="EYInterstate Light"/>
          <w:sz w:val="18"/>
          <w:szCs w:val="18"/>
          <w:lang w:eastAsia="en-US"/>
        </w:rPr>
        <w:t xml:space="preserve"> «Эрнст энд Янг» включено в контрольный экземпляр реестра аудиторов и аудиторских организаций за основным регистрационным номером записи 11603050648.</w:t>
      </w:r>
    </w:p>
    <w:p w:rsidR="00FD06F3" w:rsidRDefault="00FD06F3">
      <w:pPr>
        <w:jc w:val="left"/>
        <w:rPr>
          <w:rFonts w:ascii="EYInterstate Light" w:hAnsi="EYInterstate Light"/>
          <w:sz w:val="18"/>
          <w:szCs w:val="22"/>
        </w:rPr>
        <w:sectPr w:rsidR="00FD06F3">
          <w:headerReference w:type="default" r:id="rId18"/>
          <w:pgSz w:w="11907" w:h="16840" w:code="9"/>
          <w:pgMar w:top="2552" w:right="851" w:bottom="851" w:left="1361" w:header="720" w:footer="720" w:gutter="0"/>
          <w:cols w:space="720"/>
          <w:docGrid w:linePitch="360"/>
        </w:sectPr>
      </w:pPr>
    </w:p>
    <w:p w:rsidR="00FD06F3" w:rsidRDefault="0054425B">
      <w:pPr>
        <w:pStyle w:val="level10"/>
        <w:jc w:val="left"/>
        <w:rPr>
          <w:rFonts w:ascii="Times New Roman" w:hAnsi="Times New Roman" w:cs="Times New Roman"/>
          <w:b/>
          <w:bCs/>
          <w:sz w:val="24"/>
          <w:szCs w:val="24"/>
        </w:rPr>
      </w:pPr>
      <w:bookmarkStart w:id="1" w:name="_Toc325469643"/>
      <w:bookmarkStart w:id="2" w:name="_Toc354762873"/>
      <w:bookmarkStart w:id="3" w:name="_Toc356225078"/>
      <w:bookmarkStart w:id="4" w:name="_Toc387743803"/>
      <w:bookmarkStart w:id="5" w:name="_Toc387743921"/>
      <w:r>
        <w:rPr>
          <w:rFonts w:ascii="Times New Roman" w:hAnsi="Times New Roman" w:cs="Times New Roman"/>
          <w:b/>
          <w:bCs/>
          <w:sz w:val="24"/>
          <w:szCs w:val="24"/>
        </w:rPr>
        <w:lastRenderedPageBreak/>
        <w:t>Консолидированный отчет о финансовом</w:t>
      </w:r>
      <w:r>
        <w:rPr>
          <w:rFonts w:ascii="Times New Roman" w:hAnsi="Times New Roman" w:cs="Times New Roman"/>
          <w:b/>
          <w:bCs/>
          <w:sz w:val="24"/>
          <w:szCs w:val="24"/>
        </w:rPr>
        <w:t xml:space="preserve"> положении</w:t>
      </w:r>
      <w:bookmarkEnd w:id="1"/>
      <w:bookmarkEnd w:id="2"/>
      <w:bookmarkEnd w:id="3"/>
      <w:bookmarkEnd w:id="4"/>
      <w:bookmarkEnd w:id="5"/>
    </w:p>
    <w:p w:rsidR="00FD06F3" w:rsidRDefault="00FD06F3"/>
    <w:p w:rsidR="00FD06F3" w:rsidRDefault="00FD06F3"/>
    <w:tbl>
      <w:tblPr>
        <w:tblW w:w="9639" w:type="dxa"/>
        <w:jc w:val="center"/>
        <w:tblLayout w:type="fixed"/>
        <w:tblLook w:val="0000" w:firstRow="0" w:lastRow="0" w:firstColumn="0" w:lastColumn="0" w:noHBand="0" w:noVBand="0"/>
      </w:tblPr>
      <w:tblGrid>
        <w:gridCol w:w="5386"/>
        <w:gridCol w:w="851"/>
        <w:gridCol w:w="1701"/>
        <w:gridCol w:w="1701"/>
      </w:tblGrid>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br w:type="page"/>
            </w:r>
          </w:p>
        </w:tc>
        <w:tc>
          <w:tcPr>
            <w:tcW w:w="851" w:type="dxa"/>
            <w:vAlign w:val="bottom"/>
          </w:tcPr>
          <w:p w:rsidR="00FD06F3" w:rsidRDefault="00FD06F3">
            <w:pPr>
              <w:pStyle w:val="Tabletext"/>
              <w:widowControl w:val="0"/>
              <w:ind w:left="-108" w:right="-108"/>
              <w:jc w:val="center"/>
              <w:rPr>
                <w:b/>
                <w:bCs/>
                <w:sz w:val="17"/>
                <w:szCs w:val="17"/>
              </w:rPr>
            </w:pPr>
          </w:p>
        </w:tc>
        <w:tc>
          <w:tcPr>
            <w:tcW w:w="3402" w:type="dxa"/>
            <w:gridSpan w:val="2"/>
            <w:tcBorders>
              <w:bottom w:val="single" w:sz="6" w:space="0" w:color="auto"/>
            </w:tcBorders>
            <w:vAlign w:val="bottom"/>
          </w:tcPr>
          <w:p w:rsidR="00FD06F3" w:rsidRDefault="0054425B">
            <w:pPr>
              <w:pStyle w:val="Tabletext"/>
              <w:widowControl w:val="0"/>
              <w:ind w:left="-108" w:right="-108"/>
              <w:jc w:val="center"/>
              <w:rPr>
                <w:b/>
                <w:bCs/>
                <w:sz w:val="17"/>
                <w:szCs w:val="17"/>
              </w:rPr>
            </w:pPr>
            <w:r>
              <w:rPr>
                <w:b/>
                <w:bCs/>
                <w:sz w:val="17"/>
                <w:szCs w:val="17"/>
              </w:rPr>
              <w:t>На 31 декабря</w:t>
            </w:r>
          </w:p>
        </w:tc>
      </w:tr>
      <w:tr w:rsidR="00FD06F3">
        <w:trPr>
          <w:trHeight w:val="23"/>
          <w:jc w:val="center"/>
        </w:trPr>
        <w:tc>
          <w:tcPr>
            <w:tcW w:w="5386" w:type="dxa"/>
            <w:vAlign w:val="bottom"/>
          </w:tcPr>
          <w:p w:rsidR="00FD06F3" w:rsidRDefault="00FD06F3">
            <w:pPr>
              <w:pStyle w:val="Tabletext"/>
              <w:widowControl w:val="0"/>
              <w:ind w:left="5" w:right="-108" w:hanging="113"/>
              <w:jc w:val="left"/>
              <w:rPr>
                <w:sz w:val="17"/>
                <w:szCs w:val="17"/>
              </w:rPr>
            </w:pPr>
          </w:p>
        </w:tc>
        <w:tc>
          <w:tcPr>
            <w:tcW w:w="851" w:type="dxa"/>
            <w:tcBorders>
              <w:bottom w:val="single" w:sz="6" w:space="0" w:color="auto"/>
            </w:tcBorders>
            <w:vAlign w:val="bottom"/>
          </w:tcPr>
          <w:p w:rsidR="00FD06F3" w:rsidRDefault="0054425B">
            <w:pPr>
              <w:pStyle w:val="Tabletext"/>
              <w:widowControl w:val="0"/>
              <w:ind w:left="-108" w:right="-108"/>
              <w:jc w:val="center"/>
              <w:rPr>
                <w:b/>
                <w:bCs/>
                <w:sz w:val="17"/>
                <w:szCs w:val="17"/>
              </w:rPr>
            </w:pPr>
            <w:r>
              <w:rPr>
                <w:b/>
                <w:bCs/>
                <w:sz w:val="17"/>
                <w:szCs w:val="17"/>
              </w:rPr>
              <w:t>Прим.</w:t>
            </w:r>
          </w:p>
        </w:tc>
        <w:tc>
          <w:tcPr>
            <w:tcW w:w="1701" w:type="dxa"/>
            <w:tcBorders>
              <w:top w:val="single" w:sz="6" w:space="0" w:color="auto"/>
              <w:bottom w:val="single" w:sz="6" w:space="0" w:color="auto"/>
            </w:tcBorders>
            <w:vAlign w:val="bottom"/>
          </w:tcPr>
          <w:p w:rsidR="00FD06F3" w:rsidRDefault="0054425B">
            <w:pPr>
              <w:pStyle w:val="Tabletext"/>
              <w:widowControl w:val="0"/>
              <w:ind w:left="-108" w:right="-108"/>
              <w:jc w:val="center"/>
              <w:rPr>
                <w:b/>
                <w:bCs/>
                <w:sz w:val="17"/>
                <w:szCs w:val="17"/>
              </w:rPr>
            </w:pPr>
            <w:r>
              <w:rPr>
                <w:b/>
                <w:bCs/>
                <w:sz w:val="17"/>
                <w:szCs w:val="17"/>
              </w:rPr>
              <w:t>2017 г.</w:t>
            </w:r>
          </w:p>
        </w:tc>
        <w:tc>
          <w:tcPr>
            <w:tcW w:w="1701" w:type="dxa"/>
            <w:tcBorders>
              <w:top w:val="single" w:sz="6" w:space="0" w:color="auto"/>
              <w:bottom w:val="single" w:sz="6" w:space="0" w:color="auto"/>
            </w:tcBorders>
            <w:vAlign w:val="bottom"/>
          </w:tcPr>
          <w:p w:rsidR="00FD06F3" w:rsidRDefault="0054425B">
            <w:pPr>
              <w:pStyle w:val="Tabletext"/>
              <w:widowControl w:val="0"/>
              <w:ind w:left="-108" w:right="-108"/>
              <w:jc w:val="center"/>
              <w:rPr>
                <w:b/>
                <w:bCs/>
                <w:sz w:val="17"/>
                <w:szCs w:val="17"/>
              </w:rPr>
            </w:pPr>
            <w:r>
              <w:rPr>
                <w:b/>
                <w:bCs/>
                <w:sz w:val="17"/>
                <w:szCs w:val="17"/>
              </w:rPr>
              <w:t>2016 г.</w:t>
            </w:r>
          </w:p>
        </w:tc>
      </w:tr>
      <w:tr w:rsidR="00FD06F3">
        <w:trPr>
          <w:trHeight w:val="23"/>
          <w:jc w:val="center"/>
        </w:trPr>
        <w:tc>
          <w:tcPr>
            <w:tcW w:w="5386" w:type="dxa"/>
            <w:vAlign w:val="bottom"/>
          </w:tcPr>
          <w:p w:rsidR="00FD06F3" w:rsidRDefault="0054425B">
            <w:pPr>
              <w:pStyle w:val="BoldTabletext"/>
              <w:widowControl w:val="0"/>
              <w:ind w:left="5" w:right="-108" w:hanging="113"/>
              <w:jc w:val="left"/>
              <w:rPr>
                <w:sz w:val="17"/>
                <w:szCs w:val="17"/>
              </w:rPr>
            </w:pPr>
            <w:r>
              <w:rPr>
                <w:sz w:val="17"/>
                <w:szCs w:val="17"/>
              </w:rPr>
              <w:t>Активы</w:t>
            </w:r>
          </w:p>
        </w:tc>
        <w:tc>
          <w:tcPr>
            <w:tcW w:w="851" w:type="dxa"/>
            <w:tcBorders>
              <w:top w:val="single" w:sz="6" w:space="0" w:color="auto"/>
            </w:tcBorders>
            <w:vAlign w:val="bottom"/>
          </w:tcPr>
          <w:p w:rsidR="00FD06F3" w:rsidRDefault="00FD06F3">
            <w:pPr>
              <w:pStyle w:val="Tabletext"/>
              <w:widowControl w:val="0"/>
              <w:ind w:left="-108" w:right="-108"/>
              <w:jc w:val="center"/>
              <w:rPr>
                <w:b/>
                <w:bCs/>
                <w:sz w:val="17"/>
                <w:szCs w:val="17"/>
              </w:rPr>
            </w:pPr>
          </w:p>
        </w:tc>
        <w:tc>
          <w:tcPr>
            <w:tcW w:w="1701" w:type="dxa"/>
            <w:tcBorders>
              <w:top w:val="single" w:sz="6" w:space="0" w:color="auto"/>
            </w:tcBorders>
            <w:vAlign w:val="bottom"/>
          </w:tcPr>
          <w:p w:rsidR="00FD06F3" w:rsidRDefault="00FD06F3">
            <w:pPr>
              <w:pStyle w:val="Tabletext"/>
              <w:widowControl w:val="0"/>
              <w:tabs>
                <w:tab w:val="decimal" w:pos="1247"/>
              </w:tabs>
              <w:jc w:val="left"/>
              <w:rPr>
                <w:b/>
                <w:bCs/>
                <w:sz w:val="17"/>
                <w:szCs w:val="17"/>
              </w:rPr>
            </w:pPr>
          </w:p>
        </w:tc>
        <w:tc>
          <w:tcPr>
            <w:tcW w:w="1701" w:type="dxa"/>
            <w:tcBorders>
              <w:top w:val="single" w:sz="6" w:space="0" w:color="auto"/>
            </w:tcBorders>
            <w:vAlign w:val="bottom"/>
          </w:tcPr>
          <w:p w:rsidR="00FD06F3" w:rsidRDefault="00FD06F3">
            <w:pPr>
              <w:pStyle w:val="Tabletext"/>
              <w:widowControl w:val="0"/>
              <w:tabs>
                <w:tab w:val="decimal" w:pos="1247"/>
              </w:tabs>
              <w:jc w:val="left"/>
              <w:rPr>
                <w:i/>
                <w:iCs/>
                <w:sz w:val="17"/>
                <w:szCs w:val="17"/>
              </w:rPr>
            </w:pPr>
          </w:p>
        </w:tc>
      </w:tr>
      <w:tr w:rsidR="00FD06F3">
        <w:trPr>
          <w:trHeight w:val="23"/>
          <w:jc w:val="center"/>
        </w:trPr>
        <w:tc>
          <w:tcPr>
            <w:tcW w:w="5386" w:type="dxa"/>
            <w:vAlign w:val="bottom"/>
          </w:tcPr>
          <w:p w:rsidR="00FD06F3" w:rsidRDefault="0054425B">
            <w:pPr>
              <w:pStyle w:val="BoldTabletext"/>
              <w:widowControl w:val="0"/>
              <w:ind w:left="5" w:right="-108" w:hanging="113"/>
              <w:jc w:val="left"/>
              <w:rPr>
                <w:sz w:val="17"/>
                <w:szCs w:val="17"/>
              </w:rPr>
            </w:pPr>
            <w:r>
              <w:rPr>
                <w:sz w:val="17"/>
                <w:szCs w:val="17"/>
              </w:rPr>
              <w:t>Внеоборотные активы</w:t>
            </w:r>
          </w:p>
        </w:tc>
        <w:tc>
          <w:tcPr>
            <w:tcW w:w="851" w:type="dxa"/>
            <w:vAlign w:val="bottom"/>
          </w:tcPr>
          <w:p w:rsidR="00FD06F3" w:rsidRDefault="00FD06F3">
            <w:pPr>
              <w:pStyle w:val="BoldTabletext"/>
              <w:widowControl w:val="0"/>
              <w:ind w:left="-108" w:right="-108"/>
              <w:jc w:val="center"/>
              <w:rPr>
                <w:sz w:val="17"/>
                <w:szCs w:val="17"/>
              </w:rPr>
            </w:pPr>
          </w:p>
        </w:tc>
        <w:tc>
          <w:tcPr>
            <w:tcW w:w="1701" w:type="dxa"/>
            <w:vAlign w:val="bottom"/>
          </w:tcPr>
          <w:p w:rsidR="00FD06F3" w:rsidRDefault="00FD06F3">
            <w:pPr>
              <w:widowControl w:val="0"/>
              <w:tabs>
                <w:tab w:val="decimal" w:pos="1247"/>
              </w:tabs>
              <w:jc w:val="left"/>
              <w:rPr>
                <w:sz w:val="17"/>
                <w:szCs w:val="17"/>
              </w:rPr>
            </w:pPr>
          </w:p>
        </w:tc>
        <w:tc>
          <w:tcPr>
            <w:tcW w:w="1701" w:type="dxa"/>
            <w:vAlign w:val="bottom"/>
          </w:tcPr>
          <w:p w:rsidR="00FD06F3" w:rsidRDefault="00FD06F3">
            <w:pPr>
              <w:pStyle w:val="BoldTabletext"/>
              <w:widowControl w:val="0"/>
              <w:tabs>
                <w:tab w:val="decimal" w:pos="1247"/>
              </w:tabs>
              <w:jc w:val="left"/>
              <w:rPr>
                <w:sz w:val="17"/>
                <w:szCs w:val="17"/>
              </w:rPr>
            </w:pP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Основные средства, нетто</w:t>
            </w:r>
          </w:p>
        </w:tc>
        <w:tc>
          <w:tcPr>
            <w:tcW w:w="851" w:type="dxa"/>
            <w:vAlign w:val="bottom"/>
          </w:tcPr>
          <w:p w:rsidR="00FD06F3" w:rsidRDefault="0054425B">
            <w:pPr>
              <w:pStyle w:val="Tabletext"/>
              <w:widowControl w:val="0"/>
              <w:ind w:left="-108" w:right="-108"/>
              <w:jc w:val="center"/>
              <w:rPr>
                <w:sz w:val="17"/>
                <w:szCs w:val="17"/>
              </w:rPr>
            </w:pPr>
            <w:r>
              <w:rPr>
                <w:sz w:val="17"/>
                <w:szCs w:val="17"/>
              </w:rPr>
              <w:t>6</w:t>
            </w:r>
          </w:p>
        </w:tc>
        <w:tc>
          <w:tcPr>
            <w:tcW w:w="1701" w:type="dxa"/>
            <w:vAlign w:val="bottom"/>
          </w:tcPr>
          <w:p w:rsidR="00FD06F3" w:rsidRDefault="0054425B">
            <w:pPr>
              <w:tabs>
                <w:tab w:val="decimal" w:pos="1247"/>
              </w:tabs>
              <w:ind w:right="175"/>
              <w:jc w:val="left"/>
              <w:rPr>
                <w:sz w:val="17"/>
                <w:szCs w:val="17"/>
              </w:rPr>
            </w:pPr>
            <w:r>
              <w:rPr>
                <w:sz w:val="17"/>
                <w:szCs w:val="17"/>
              </w:rPr>
              <w:t>3 277 220</w:t>
            </w:r>
          </w:p>
        </w:tc>
        <w:tc>
          <w:tcPr>
            <w:tcW w:w="1701" w:type="dxa"/>
            <w:vAlign w:val="bottom"/>
          </w:tcPr>
          <w:p w:rsidR="00FD06F3" w:rsidRDefault="0054425B">
            <w:pPr>
              <w:tabs>
                <w:tab w:val="decimal" w:pos="1247"/>
              </w:tabs>
              <w:ind w:right="175"/>
              <w:jc w:val="left"/>
              <w:rPr>
                <w:sz w:val="17"/>
                <w:szCs w:val="17"/>
              </w:rPr>
            </w:pPr>
            <w:r>
              <w:rPr>
                <w:sz w:val="17"/>
                <w:szCs w:val="17"/>
              </w:rPr>
              <w:t>3 684 698</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Инвестиционная недвижимость</w:t>
            </w:r>
          </w:p>
        </w:tc>
        <w:tc>
          <w:tcPr>
            <w:tcW w:w="851" w:type="dxa"/>
            <w:vAlign w:val="bottom"/>
          </w:tcPr>
          <w:p w:rsidR="00FD06F3" w:rsidRDefault="0054425B">
            <w:pPr>
              <w:pStyle w:val="Tabletext"/>
              <w:widowControl w:val="0"/>
              <w:ind w:left="-108" w:right="-108"/>
              <w:jc w:val="center"/>
              <w:rPr>
                <w:sz w:val="17"/>
                <w:szCs w:val="17"/>
              </w:rPr>
            </w:pPr>
            <w:r>
              <w:rPr>
                <w:sz w:val="17"/>
                <w:szCs w:val="17"/>
              </w:rPr>
              <w:t>4</w:t>
            </w:r>
          </w:p>
        </w:tc>
        <w:tc>
          <w:tcPr>
            <w:tcW w:w="1701" w:type="dxa"/>
            <w:vAlign w:val="bottom"/>
          </w:tcPr>
          <w:p w:rsidR="00FD06F3" w:rsidRDefault="0054425B">
            <w:pPr>
              <w:tabs>
                <w:tab w:val="decimal" w:pos="1247"/>
              </w:tabs>
              <w:ind w:right="175"/>
              <w:jc w:val="left"/>
              <w:rPr>
                <w:sz w:val="17"/>
                <w:szCs w:val="17"/>
              </w:rPr>
            </w:pPr>
            <w:r>
              <w:rPr>
                <w:sz w:val="17"/>
                <w:szCs w:val="17"/>
              </w:rPr>
              <w:t>168 780</w:t>
            </w:r>
          </w:p>
        </w:tc>
        <w:tc>
          <w:tcPr>
            <w:tcW w:w="1701" w:type="dxa"/>
            <w:vAlign w:val="bottom"/>
          </w:tcPr>
          <w:p w:rsidR="00FD06F3" w:rsidRDefault="0054425B">
            <w:pPr>
              <w:tabs>
                <w:tab w:val="decimal" w:pos="1247"/>
              </w:tabs>
              <w:ind w:right="175"/>
              <w:jc w:val="left"/>
              <w:rPr>
                <w:sz w:val="17"/>
                <w:szCs w:val="17"/>
              </w:rPr>
            </w:pPr>
            <w:r>
              <w:rPr>
                <w:sz w:val="17"/>
                <w:szCs w:val="17"/>
              </w:rPr>
              <w:t>168 780</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Авансы под капитальное строительство</w:t>
            </w:r>
          </w:p>
        </w:tc>
        <w:tc>
          <w:tcPr>
            <w:tcW w:w="851" w:type="dxa"/>
            <w:vAlign w:val="bottom"/>
          </w:tcPr>
          <w:p w:rsidR="00FD06F3" w:rsidRDefault="00FD06F3">
            <w:pPr>
              <w:pStyle w:val="Tabletext"/>
              <w:widowControl w:val="0"/>
              <w:ind w:left="-108" w:right="-108"/>
              <w:jc w:val="center"/>
              <w:rPr>
                <w:sz w:val="17"/>
                <w:szCs w:val="17"/>
              </w:rPr>
            </w:pPr>
          </w:p>
        </w:tc>
        <w:tc>
          <w:tcPr>
            <w:tcW w:w="1701" w:type="dxa"/>
            <w:vAlign w:val="bottom"/>
          </w:tcPr>
          <w:p w:rsidR="00FD06F3" w:rsidRDefault="0054425B">
            <w:pPr>
              <w:tabs>
                <w:tab w:val="decimal" w:pos="1247"/>
              </w:tabs>
              <w:ind w:right="175"/>
              <w:jc w:val="left"/>
              <w:rPr>
                <w:sz w:val="17"/>
                <w:szCs w:val="17"/>
              </w:rPr>
            </w:pPr>
            <w:r>
              <w:rPr>
                <w:sz w:val="17"/>
                <w:szCs w:val="17"/>
              </w:rPr>
              <w:t>62 376</w:t>
            </w:r>
          </w:p>
        </w:tc>
        <w:tc>
          <w:tcPr>
            <w:tcW w:w="1701" w:type="dxa"/>
            <w:vAlign w:val="bottom"/>
          </w:tcPr>
          <w:p w:rsidR="00FD06F3" w:rsidRDefault="0054425B">
            <w:pPr>
              <w:tabs>
                <w:tab w:val="decimal" w:pos="1247"/>
              </w:tabs>
              <w:ind w:right="175"/>
              <w:jc w:val="left"/>
              <w:rPr>
                <w:sz w:val="17"/>
                <w:szCs w:val="17"/>
              </w:rPr>
            </w:pPr>
            <w:r>
              <w:rPr>
                <w:sz w:val="17"/>
                <w:szCs w:val="17"/>
              </w:rPr>
              <w:t>62 847</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 xml:space="preserve">Нематериальные </w:t>
            </w:r>
            <w:r>
              <w:rPr>
                <w:sz w:val="17"/>
                <w:szCs w:val="17"/>
              </w:rPr>
              <w:t>активы, нетто</w:t>
            </w:r>
          </w:p>
        </w:tc>
        <w:tc>
          <w:tcPr>
            <w:tcW w:w="851" w:type="dxa"/>
            <w:vAlign w:val="bottom"/>
          </w:tcPr>
          <w:p w:rsidR="00FD06F3" w:rsidRDefault="00FD06F3">
            <w:pPr>
              <w:pStyle w:val="Tabletext"/>
              <w:widowControl w:val="0"/>
              <w:ind w:left="-108" w:right="-108"/>
              <w:jc w:val="center"/>
              <w:rPr>
                <w:sz w:val="17"/>
                <w:szCs w:val="17"/>
              </w:rPr>
            </w:pPr>
          </w:p>
        </w:tc>
        <w:tc>
          <w:tcPr>
            <w:tcW w:w="1701" w:type="dxa"/>
            <w:vAlign w:val="bottom"/>
          </w:tcPr>
          <w:p w:rsidR="00FD06F3" w:rsidRDefault="0054425B">
            <w:pPr>
              <w:tabs>
                <w:tab w:val="decimal" w:pos="1247"/>
              </w:tabs>
              <w:ind w:right="175"/>
              <w:jc w:val="left"/>
              <w:rPr>
                <w:sz w:val="17"/>
                <w:szCs w:val="17"/>
              </w:rPr>
            </w:pPr>
            <w:r>
              <w:rPr>
                <w:sz w:val="17"/>
                <w:szCs w:val="17"/>
              </w:rPr>
              <w:t>39 867</w:t>
            </w:r>
          </w:p>
        </w:tc>
        <w:tc>
          <w:tcPr>
            <w:tcW w:w="1701" w:type="dxa"/>
            <w:vAlign w:val="bottom"/>
          </w:tcPr>
          <w:p w:rsidR="00FD06F3" w:rsidRDefault="0054425B">
            <w:pPr>
              <w:tabs>
                <w:tab w:val="decimal" w:pos="1247"/>
              </w:tabs>
              <w:ind w:right="175"/>
              <w:jc w:val="left"/>
              <w:rPr>
                <w:sz w:val="17"/>
                <w:szCs w:val="17"/>
              </w:rPr>
            </w:pPr>
            <w:r>
              <w:rPr>
                <w:sz w:val="17"/>
                <w:szCs w:val="17"/>
              </w:rPr>
              <w:t>5 157</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Задолженность связанной стороны в рамках финансирования проекта «Золотой остров»</w:t>
            </w:r>
          </w:p>
        </w:tc>
        <w:tc>
          <w:tcPr>
            <w:tcW w:w="851" w:type="dxa"/>
            <w:vAlign w:val="bottom"/>
          </w:tcPr>
          <w:p w:rsidR="00FD06F3" w:rsidRDefault="0054425B">
            <w:pPr>
              <w:pStyle w:val="Tabletext"/>
              <w:widowControl w:val="0"/>
              <w:ind w:left="-108" w:right="-108"/>
              <w:jc w:val="center"/>
              <w:rPr>
                <w:sz w:val="17"/>
                <w:szCs w:val="17"/>
              </w:rPr>
            </w:pPr>
            <w:r>
              <w:rPr>
                <w:sz w:val="17"/>
                <w:szCs w:val="17"/>
              </w:rPr>
              <w:t>4, 18.9</w:t>
            </w:r>
          </w:p>
        </w:tc>
        <w:tc>
          <w:tcPr>
            <w:tcW w:w="1701" w:type="dxa"/>
            <w:vAlign w:val="bottom"/>
          </w:tcPr>
          <w:p w:rsidR="00FD06F3" w:rsidRDefault="0054425B">
            <w:pPr>
              <w:tabs>
                <w:tab w:val="decimal" w:pos="1247"/>
              </w:tabs>
              <w:ind w:right="175"/>
              <w:jc w:val="left"/>
              <w:rPr>
                <w:sz w:val="17"/>
                <w:szCs w:val="17"/>
              </w:rPr>
            </w:pPr>
            <w:r>
              <w:rPr>
                <w:sz w:val="17"/>
                <w:szCs w:val="17"/>
              </w:rPr>
              <w:t>1 655 113</w:t>
            </w:r>
          </w:p>
        </w:tc>
        <w:tc>
          <w:tcPr>
            <w:tcW w:w="1701" w:type="dxa"/>
            <w:vAlign w:val="bottom"/>
          </w:tcPr>
          <w:p w:rsidR="00FD06F3" w:rsidRDefault="0054425B">
            <w:pPr>
              <w:tabs>
                <w:tab w:val="decimal" w:pos="1247"/>
              </w:tabs>
              <w:ind w:right="175"/>
              <w:jc w:val="left"/>
              <w:rPr>
                <w:sz w:val="17"/>
                <w:szCs w:val="17"/>
              </w:rPr>
            </w:pPr>
            <w:r>
              <w:rPr>
                <w:sz w:val="17"/>
                <w:szCs w:val="17"/>
              </w:rPr>
              <w:t>1 583 290</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Инвестиции в ассоциированную компанию</w:t>
            </w:r>
          </w:p>
        </w:tc>
        <w:tc>
          <w:tcPr>
            <w:tcW w:w="851" w:type="dxa"/>
            <w:vAlign w:val="bottom"/>
          </w:tcPr>
          <w:p w:rsidR="00FD06F3" w:rsidRDefault="0054425B">
            <w:pPr>
              <w:pStyle w:val="Tabletext"/>
              <w:widowControl w:val="0"/>
              <w:ind w:left="-108" w:right="-108"/>
              <w:jc w:val="center"/>
              <w:rPr>
                <w:sz w:val="17"/>
                <w:szCs w:val="17"/>
              </w:rPr>
            </w:pPr>
            <w:r>
              <w:rPr>
                <w:sz w:val="17"/>
                <w:szCs w:val="17"/>
              </w:rPr>
              <w:t>5, 18.12</w:t>
            </w:r>
          </w:p>
        </w:tc>
        <w:tc>
          <w:tcPr>
            <w:tcW w:w="1701" w:type="dxa"/>
            <w:vAlign w:val="bottom"/>
          </w:tcPr>
          <w:p w:rsidR="00FD06F3" w:rsidRDefault="0054425B">
            <w:pPr>
              <w:tabs>
                <w:tab w:val="decimal" w:pos="1247"/>
              </w:tabs>
              <w:ind w:right="175"/>
              <w:jc w:val="left"/>
              <w:rPr>
                <w:sz w:val="17"/>
                <w:szCs w:val="17"/>
              </w:rPr>
            </w:pPr>
            <w:r>
              <w:rPr>
                <w:sz w:val="17"/>
                <w:szCs w:val="17"/>
              </w:rPr>
              <w:t>–</w:t>
            </w:r>
          </w:p>
        </w:tc>
        <w:tc>
          <w:tcPr>
            <w:tcW w:w="1701" w:type="dxa"/>
            <w:vAlign w:val="bottom"/>
          </w:tcPr>
          <w:p w:rsidR="00FD06F3" w:rsidRDefault="0054425B">
            <w:pPr>
              <w:pStyle w:val="Tabletext"/>
              <w:widowControl w:val="0"/>
              <w:tabs>
                <w:tab w:val="decimal" w:pos="1247"/>
              </w:tabs>
              <w:ind w:right="175"/>
              <w:jc w:val="left"/>
              <w:rPr>
                <w:sz w:val="17"/>
                <w:szCs w:val="17"/>
              </w:rPr>
            </w:pPr>
            <w:r>
              <w:rPr>
                <w:sz w:val="17"/>
                <w:szCs w:val="17"/>
              </w:rPr>
              <w:t>988 178</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Инвестиции, предназначенные для продажи</w:t>
            </w:r>
          </w:p>
        </w:tc>
        <w:tc>
          <w:tcPr>
            <w:tcW w:w="851" w:type="dxa"/>
            <w:vAlign w:val="bottom"/>
          </w:tcPr>
          <w:p w:rsidR="00FD06F3" w:rsidRDefault="0054425B">
            <w:pPr>
              <w:pStyle w:val="Tabletext"/>
              <w:widowControl w:val="0"/>
              <w:ind w:left="-108" w:right="-108"/>
              <w:jc w:val="center"/>
              <w:rPr>
                <w:sz w:val="17"/>
                <w:szCs w:val="17"/>
              </w:rPr>
            </w:pPr>
            <w:r>
              <w:rPr>
                <w:sz w:val="17"/>
                <w:szCs w:val="17"/>
              </w:rPr>
              <w:t>5</w:t>
            </w:r>
          </w:p>
        </w:tc>
        <w:tc>
          <w:tcPr>
            <w:tcW w:w="1701" w:type="dxa"/>
            <w:vAlign w:val="bottom"/>
          </w:tcPr>
          <w:p w:rsidR="00FD06F3" w:rsidRDefault="0054425B">
            <w:pPr>
              <w:tabs>
                <w:tab w:val="decimal" w:pos="1247"/>
              </w:tabs>
              <w:ind w:right="175"/>
              <w:jc w:val="left"/>
              <w:rPr>
                <w:sz w:val="17"/>
                <w:szCs w:val="17"/>
              </w:rPr>
            </w:pPr>
            <w:r>
              <w:rPr>
                <w:sz w:val="17"/>
                <w:szCs w:val="17"/>
              </w:rPr>
              <w:t>949 912</w:t>
            </w:r>
          </w:p>
        </w:tc>
        <w:tc>
          <w:tcPr>
            <w:tcW w:w="1701" w:type="dxa"/>
            <w:vAlign w:val="bottom"/>
          </w:tcPr>
          <w:p w:rsidR="00FD06F3" w:rsidRDefault="0054425B">
            <w:pPr>
              <w:pStyle w:val="Tabletext"/>
              <w:widowControl w:val="0"/>
              <w:tabs>
                <w:tab w:val="decimal" w:pos="1247"/>
              </w:tabs>
              <w:ind w:right="175"/>
              <w:jc w:val="left"/>
              <w:rPr>
                <w:sz w:val="17"/>
                <w:szCs w:val="17"/>
              </w:rPr>
            </w:pPr>
            <w:r>
              <w:rPr>
                <w:sz w:val="17"/>
                <w:szCs w:val="17"/>
              </w:rPr>
              <w:t>–</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Займы,</w:t>
            </w:r>
            <w:r>
              <w:rPr>
                <w:sz w:val="17"/>
                <w:szCs w:val="17"/>
              </w:rPr>
              <w:t xml:space="preserve"> выданные связанным сторонам</w:t>
            </w:r>
          </w:p>
        </w:tc>
        <w:tc>
          <w:tcPr>
            <w:tcW w:w="851" w:type="dxa"/>
            <w:vAlign w:val="bottom"/>
          </w:tcPr>
          <w:p w:rsidR="00FD06F3" w:rsidRDefault="0054425B">
            <w:pPr>
              <w:pStyle w:val="Tabletext"/>
              <w:widowControl w:val="0"/>
              <w:ind w:left="-108" w:right="-108"/>
              <w:jc w:val="center"/>
              <w:rPr>
                <w:sz w:val="17"/>
                <w:szCs w:val="17"/>
              </w:rPr>
            </w:pPr>
            <w:r>
              <w:rPr>
                <w:sz w:val="17"/>
                <w:szCs w:val="17"/>
              </w:rPr>
              <w:t>18.5</w:t>
            </w:r>
          </w:p>
        </w:tc>
        <w:tc>
          <w:tcPr>
            <w:tcW w:w="1701" w:type="dxa"/>
            <w:vAlign w:val="bottom"/>
          </w:tcPr>
          <w:p w:rsidR="00FD06F3" w:rsidRDefault="0054425B">
            <w:pPr>
              <w:tabs>
                <w:tab w:val="decimal" w:pos="1247"/>
              </w:tabs>
              <w:ind w:right="175"/>
              <w:jc w:val="left"/>
              <w:rPr>
                <w:sz w:val="18"/>
                <w:szCs w:val="18"/>
              </w:rPr>
            </w:pPr>
            <w:r>
              <w:rPr>
                <w:sz w:val="18"/>
                <w:szCs w:val="18"/>
              </w:rPr>
              <w:t>1 131 495</w:t>
            </w:r>
          </w:p>
        </w:tc>
        <w:tc>
          <w:tcPr>
            <w:tcW w:w="1701" w:type="dxa"/>
            <w:vAlign w:val="bottom"/>
          </w:tcPr>
          <w:p w:rsidR="00FD06F3" w:rsidRDefault="0054425B">
            <w:pPr>
              <w:tabs>
                <w:tab w:val="decimal" w:pos="1247"/>
              </w:tabs>
              <w:ind w:right="175"/>
              <w:jc w:val="left"/>
              <w:rPr>
                <w:sz w:val="17"/>
                <w:szCs w:val="17"/>
              </w:rPr>
            </w:pPr>
            <w:r>
              <w:rPr>
                <w:sz w:val="17"/>
                <w:szCs w:val="17"/>
              </w:rPr>
              <w:t>1 282 516</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Прочие финансовые активы связанной стороны</w:t>
            </w:r>
          </w:p>
        </w:tc>
        <w:tc>
          <w:tcPr>
            <w:tcW w:w="851" w:type="dxa"/>
            <w:vAlign w:val="bottom"/>
          </w:tcPr>
          <w:p w:rsidR="00FD06F3" w:rsidRDefault="0054425B">
            <w:pPr>
              <w:pStyle w:val="Tabletext"/>
              <w:widowControl w:val="0"/>
              <w:ind w:left="-108" w:right="-108"/>
              <w:jc w:val="center"/>
              <w:rPr>
                <w:sz w:val="17"/>
                <w:szCs w:val="17"/>
              </w:rPr>
            </w:pPr>
            <w:r>
              <w:rPr>
                <w:sz w:val="17"/>
                <w:szCs w:val="17"/>
              </w:rPr>
              <w:t>18.4</w:t>
            </w:r>
          </w:p>
        </w:tc>
        <w:tc>
          <w:tcPr>
            <w:tcW w:w="1701" w:type="dxa"/>
            <w:tcBorders>
              <w:bottom w:val="single" w:sz="6" w:space="0" w:color="auto"/>
            </w:tcBorders>
            <w:vAlign w:val="bottom"/>
          </w:tcPr>
          <w:p w:rsidR="00FD06F3" w:rsidRDefault="0054425B">
            <w:pPr>
              <w:tabs>
                <w:tab w:val="decimal" w:pos="1247"/>
              </w:tabs>
              <w:ind w:right="175"/>
              <w:jc w:val="left"/>
              <w:rPr>
                <w:sz w:val="17"/>
                <w:szCs w:val="17"/>
              </w:rPr>
            </w:pPr>
            <w:r>
              <w:rPr>
                <w:sz w:val="17"/>
                <w:szCs w:val="17"/>
              </w:rPr>
              <w:t>–</w:t>
            </w:r>
          </w:p>
        </w:tc>
        <w:tc>
          <w:tcPr>
            <w:tcW w:w="1701" w:type="dxa"/>
            <w:tcBorders>
              <w:bottom w:val="single" w:sz="6" w:space="0" w:color="auto"/>
            </w:tcBorders>
            <w:vAlign w:val="bottom"/>
          </w:tcPr>
          <w:p w:rsidR="00FD06F3" w:rsidRDefault="0054425B">
            <w:pPr>
              <w:tabs>
                <w:tab w:val="decimal" w:pos="1247"/>
              </w:tabs>
              <w:ind w:right="175"/>
              <w:jc w:val="left"/>
              <w:rPr>
                <w:sz w:val="17"/>
                <w:szCs w:val="17"/>
              </w:rPr>
            </w:pPr>
            <w:r>
              <w:rPr>
                <w:sz w:val="17"/>
                <w:szCs w:val="17"/>
              </w:rPr>
              <w:t>251 478</w:t>
            </w:r>
          </w:p>
        </w:tc>
      </w:tr>
      <w:tr w:rsidR="00FD06F3">
        <w:trPr>
          <w:trHeight w:val="23"/>
          <w:jc w:val="center"/>
        </w:trPr>
        <w:tc>
          <w:tcPr>
            <w:tcW w:w="5386" w:type="dxa"/>
            <w:vAlign w:val="bottom"/>
          </w:tcPr>
          <w:p w:rsidR="00FD06F3" w:rsidRDefault="0054425B">
            <w:pPr>
              <w:pStyle w:val="BoldTabletext"/>
              <w:widowControl w:val="0"/>
              <w:ind w:left="5" w:right="-108" w:hanging="113"/>
              <w:jc w:val="left"/>
              <w:rPr>
                <w:sz w:val="17"/>
                <w:szCs w:val="17"/>
              </w:rPr>
            </w:pPr>
            <w:r>
              <w:rPr>
                <w:sz w:val="17"/>
                <w:szCs w:val="17"/>
              </w:rPr>
              <w:t>Итого внеоборотные активы</w:t>
            </w:r>
          </w:p>
        </w:tc>
        <w:tc>
          <w:tcPr>
            <w:tcW w:w="851" w:type="dxa"/>
            <w:vAlign w:val="bottom"/>
          </w:tcPr>
          <w:p w:rsidR="00FD06F3" w:rsidRDefault="00FD06F3">
            <w:pPr>
              <w:pStyle w:val="Tabletext"/>
              <w:widowControl w:val="0"/>
              <w:ind w:left="-108" w:right="-108"/>
              <w:jc w:val="center"/>
              <w:rPr>
                <w:sz w:val="17"/>
                <w:szCs w:val="17"/>
              </w:rPr>
            </w:pPr>
          </w:p>
        </w:tc>
        <w:tc>
          <w:tcPr>
            <w:tcW w:w="1701" w:type="dxa"/>
            <w:tcBorders>
              <w:top w:val="single" w:sz="6" w:space="0" w:color="auto"/>
              <w:bottom w:val="single" w:sz="6" w:space="0" w:color="auto"/>
            </w:tcBorders>
            <w:vAlign w:val="bottom"/>
          </w:tcPr>
          <w:p w:rsidR="00FD06F3" w:rsidRDefault="0054425B">
            <w:pPr>
              <w:tabs>
                <w:tab w:val="decimal" w:pos="1247"/>
              </w:tabs>
              <w:ind w:right="175"/>
              <w:jc w:val="left"/>
              <w:rPr>
                <w:b/>
                <w:sz w:val="17"/>
                <w:szCs w:val="17"/>
              </w:rPr>
            </w:pPr>
            <w:r>
              <w:rPr>
                <w:b/>
                <w:sz w:val="17"/>
                <w:szCs w:val="17"/>
              </w:rPr>
              <w:t>7 284 763</w:t>
            </w:r>
          </w:p>
        </w:tc>
        <w:tc>
          <w:tcPr>
            <w:tcW w:w="1701" w:type="dxa"/>
            <w:tcBorders>
              <w:top w:val="single" w:sz="6" w:space="0" w:color="auto"/>
              <w:bottom w:val="single" w:sz="6" w:space="0" w:color="auto"/>
            </w:tcBorders>
            <w:vAlign w:val="bottom"/>
          </w:tcPr>
          <w:p w:rsidR="00FD06F3" w:rsidRDefault="0054425B">
            <w:pPr>
              <w:tabs>
                <w:tab w:val="decimal" w:pos="1247"/>
              </w:tabs>
              <w:ind w:right="175"/>
              <w:jc w:val="left"/>
              <w:rPr>
                <w:b/>
                <w:sz w:val="17"/>
                <w:szCs w:val="17"/>
              </w:rPr>
            </w:pPr>
            <w:r>
              <w:rPr>
                <w:b/>
                <w:sz w:val="17"/>
                <w:szCs w:val="17"/>
              </w:rPr>
              <w:t>8 026 944</w:t>
            </w:r>
          </w:p>
        </w:tc>
      </w:tr>
      <w:tr w:rsidR="00FD06F3">
        <w:trPr>
          <w:trHeight w:hRule="exact" w:val="85"/>
          <w:jc w:val="center"/>
        </w:trPr>
        <w:tc>
          <w:tcPr>
            <w:tcW w:w="5386" w:type="dxa"/>
            <w:vAlign w:val="bottom"/>
          </w:tcPr>
          <w:p w:rsidR="00FD06F3" w:rsidRDefault="0054425B">
            <w:pPr>
              <w:pStyle w:val="BoldTabletext"/>
              <w:widowControl w:val="0"/>
              <w:ind w:left="5" w:right="-108" w:hanging="113"/>
              <w:jc w:val="left"/>
              <w:rPr>
                <w:sz w:val="17"/>
                <w:szCs w:val="17"/>
              </w:rPr>
            </w:pPr>
            <w:r>
              <w:rPr>
                <w:sz w:val="17"/>
                <w:szCs w:val="17"/>
              </w:rPr>
              <w:t xml:space="preserve"> </w:t>
            </w:r>
          </w:p>
        </w:tc>
        <w:tc>
          <w:tcPr>
            <w:tcW w:w="851" w:type="dxa"/>
            <w:vAlign w:val="bottom"/>
          </w:tcPr>
          <w:p w:rsidR="00FD06F3" w:rsidRDefault="00FD06F3">
            <w:pPr>
              <w:pStyle w:val="Tabletext"/>
              <w:widowControl w:val="0"/>
              <w:ind w:left="-108" w:right="-108"/>
              <w:jc w:val="center"/>
              <w:rPr>
                <w:sz w:val="17"/>
                <w:szCs w:val="17"/>
              </w:rPr>
            </w:pPr>
          </w:p>
        </w:tc>
        <w:tc>
          <w:tcPr>
            <w:tcW w:w="1701" w:type="dxa"/>
            <w:tcBorders>
              <w:top w:val="single" w:sz="6" w:space="0" w:color="auto"/>
            </w:tcBorders>
            <w:vAlign w:val="bottom"/>
          </w:tcPr>
          <w:p w:rsidR="00FD06F3" w:rsidRDefault="00FD06F3">
            <w:pPr>
              <w:widowControl w:val="0"/>
              <w:tabs>
                <w:tab w:val="decimal" w:pos="1247"/>
              </w:tabs>
              <w:ind w:right="175"/>
              <w:jc w:val="left"/>
              <w:rPr>
                <w:b/>
                <w:sz w:val="17"/>
                <w:szCs w:val="17"/>
              </w:rPr>
            </w:pPr>
          </w:p>
        </w:tc>
        <w:tc>
          <w:tcPr>
            <w:tcW w:w="1701" w:type="dxa"/>
            <w:tcBorders>
              <w:top w:val="single" w:sz="6" w:space="0" w:color="auto"/>
            </w:tcBorders>
            <w:vAlign w:val="bottom"/>
          </w:tcPr>
          <w:p w:rsidR="00FD06F3" w:rsidRDefault="00FD06F3">
            <w:pPr>
              <w:widowControl w:val="0"/>
              <w:tabs>
                <w:tab w:val="decimal" w:pos="1247"/>
              </w:tabs>
              <w:ind w:right="175"/>
              <w:jc w:val="left"/>
              <w:rPr>
                <w:b/>
                <w:sz w:val="17"/>
                <w:szCs w:val="17"/>
              </w:rPr>
            </w:pPr>
          </w:p>
        </w:tc>
      </w:tr>
      <w:tr w:rsidR="00FD06F3">
        <w:trPr>
          <w:trHeight w:val="23"/>
          <w:jc w:val="center"/>
        </w:trPr>
        <w:tc>
          <w:tcPr>
            <w:tcW w:w="5386" w:type="dxa"/>
            <w:vAlign w:val="bottom"/>
          </w:tcPr>
          <w:p w:rsidR="00FD06F3" w:rsidRDefault="0054425B">
            <w:pPr>
              <w:pStyle w:val="Tabletext"/>
              <w:widowControl w:val="0"/>
              <w:ind w:left="5" w:right="-108" w:hanging="113"/>
              <w:jc w:val="left"/>
              <w:rPr>
                <w:b/>
                <w:bCs/>
                <w:sz w:val="17"/>
                <w:szCs w:val="17"/>
              </w:rPr>
            </w:pPr>
            <w:r>
              <w:rPr>
                <w:b/>
                <w:bCs/>
                <w:sz w:val="17"/>
                <w:szCs w:val="17"/>
              </w:rPr>
              <w:t>Оборотные активы</w:t>
            </w:r>
          </w:p>
        </w:tc>
        <w:tc>
          <w:tcPr>
            <w:tcW w:w="851" w:type="dxa"/>
            <w:vAlign w:val="bottom"/>
          </w:tcPr>
          <w:p w:rsidR="00FD06F3" w:rsidRDefault="00FD06F3">
            <w:pPr>
              <w:pStyle w:val="Tabletext"/>
              <w:widowControl w:val="0"/>
              <w:ind w:left="-108" w:right="-108"/>
              <w:jc w:val="center"/>
              <w:rPr>
                <w:sz w:val="17"/>
                <w:szCs w:val="17"/>
              </w:rPr>
            </w:pPr>
          </w:p>
        </w:tc>
        <w:tc>
          <w:tcPr>
            <w:tcW w:w="1701" w:type="dxa"/>
            <w:vAlign w:val="bottom"/>
          </w:tcPr>
          <w:p w:rsidR="00FD06F3" w:rsidRDefault="00FD06F3">
            <w:pPr>
              <w:pStyle w:val="Tabletext"/>
              <w:widowControl w:val="0"/>
              <w:tabs>
                <w:tab w:val="decimal" w:pos="1247"/>
              </w:tabs>
              <w:ind w:right="175"/>
              <w:jc w:val="left"/>
              <w:rPr>
                <w:sz w:val="17"/>
                <w:szCs w:val="17"/>
              </w:rPr>
            </w:pPr>
          </w:p>
        </w:tc>
        <w:tc>
          <w:tcPr>
            <w:tcW w:w="1701" w:type="dxa"/>
            <w:vAlign w:val="bottom"/>
          </w:tcPr>
          <w:p w:rsidR="00FD06F3" w:rsidRDefault="00FD06F3">
            <w:pPr>
              <w:pStyle w:val="Tabletext"/>
              <w:widowControl w:val="0"/>
              <w:tabs>
                <w:tab w:val="decimal" w:pos="1247"/>
              </w:tabs>
              <w:ind w:right="175"/>
              <w:jc w:val="left"/>
              <w:rPr>
                <w:sz w:val="17"/>
                <w:szCs w:val="17"/>
              </w:rPr>
            </w:pP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Запасы</w:t>
            </w:r>
          </w:p>
        </w:tc>
        <w:tc>
          <w:tcPr>
            <w:tcW w:w="851" w:type="dxa"/>
            <w:vAlign w:val="bottom"/>
          </w:tcPr>
          <w:p w:rsidR="00FD06F3" w:rsidRDefault="0054425B">
            <w:pPr>
              <w:pStyle w:val="Tabletext"/>
              <w:widowControl w:val="0"/>
              <w:ind w:left="-108" w:right="-108"/>
              <w:jc w:val="center"/>
              <w:rPr>
                <w:sz w:val="17"/>
                <w:szCs w:val="17"/>
              </w:rPr>
            </w:pPr>
            <w:r>
              <w:rPr>
                <w:sz w:val="17"/>
                <w:szCs w:val="17"/>
              </w:rPr>
              <w:t>7</w:t>
            </w:r>
          </w:p>
        </w:tc>
        <w:tc>
          <w:tcPr>
            <w:tcW w:w="1701" w:type="dxa"/>
            <w:vAlign w:val="bottom"/>
          </w:tcPr>
          <w:p w:rsidR="00FD06F3" w:rsidRDefault="0054425B">
            <w:pPr>
              <w:tabs>
                <w:tab w:val="decimal" w:pos="1247"/>
              </w:tabs>
              <w:ind w:right="175"/>
              <w:jc w:val="left"/>
              <w:rPr>
                <w:sz w:val="17"/>
                <w:szCs w:val="17"/>
              </w:rPr>
            </w:pPr>
            <w:r>
              <w:rPr>
                <w:sz w:val="17"/>
                <w:szCs w:val="17"/>
              </w:rPr>
              <w:t>1 387 900</w:t>
            </w:r>
          </w:p>
        </w:tc>
        <w:tc>
          <w:tcPr>
            <w:tcW w:w="1701" w:type="dxa"/>
            <w:vAlign w:val="bottom"/>
          </w:tcPr>
          <w:p w:rsidR="00FD06F3" w:rsidRDefault="0054425B">
            <w:pPr>
              <w:tabs>
                <w:tab w:val="decimal" w:pos="1247"/>
              </w:tabs>
              <w:ind w:right="175"/>
              <w:jc w:val="left"/>
              <w:rPr>
                <w:sz w:val="17"/>
                <w:szCs w:val="17"/>
              </w:rPr>
            </w:pPr>
            <w:r>
              <w:rPr>
                <w:sz w:val="17"/>
                <w:szCs w:val="17"/>
              </w:rPr>
              <w:t>1 629 229</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 xml:space="preserve">Торговая и прочая дебиторская </w:t>
            </w:r>
            <w:r>
              <w:rPr>
                <w:sz w:val="17"/>
                <w:szCs w:val="17"/>
              </w:rPr>
              <w:t>задолженность</w:t>
            </w:r>
          </w:p>
        </w:tc>
        <w:tc>
          <w:tcPr>
            <w:tcW w:w="851" w:type="dxa"/>
            <w:vAlign w:val="bottom"/>
          </w:tcPr>
          <w:p w:rsidR="00FD06F3" w:rsidRDefault="0054425B">
            <w:pPr>
              <w:pStyle w:val="Tabletext"/>
              <w:widowControl w:val="0"/>
              <w:ind w:left="-108" w:right="-108"/>
              <w:jc w:val="center"/>
              <w:rPr>
                <w:sz w:val="17"/>
                <w:szCs w:val="17"/>
              </w:rPr>
            </w:pPr>
            <w:r>
              <w:rPr>
                <w:sz w:val="17"/>
                <w:szCs w:val="17"/>
              </w:rPr>
              <w:t>8</w:t>
            </w:r>
          </w:p>
        </w:tc>
        <w:tc>
          <w:tcPr>
            <w:tcW w:w="1701" w:type="dxa"/>
            <w:vAlign w:val="bottom"/>
          </w:tcPr>
          <w:p w:rsidR="00FD06F3" w:rsidRDefault="0054425B">
            <w:pPr>
              <w:tabs>
                <w:tab w:val="decimal" w:pos="1247"/>
              </w:tabs>
              <w:ind w:right="175"/>
              <w:jc w:val="left"/>
              <w:rPr>
                <w:sz w:val="17"/>
                <w:szCs w:val="17"/>
              </w:rPr>
            </w:pPr>
            <w:r>
              <w:rPr>
                <w:sz w:val="17"/>
                <w:szCs w:val="17"/>
              </w:rPr>
              <w:t>4 105 779</w:t>
            </w:r>
          </w:p>
        </w:tc>
        <w:tc>
          <w:tcPr>
            <w:tcW w:w="1701" w:type="dxa"/>
            <w:vAlign w:val="bottom"/>
          </w:tcPr>
          <w:p w:rsidR="00FD06F3" w:rsidRDefault="0054425B">
            <w:pPr>
              <w:tabs>
                <w:tab w:val="decimal" w:pos="1247"/>
              </w:tabs>
              <w:ind w:right="175"/>
              <w:jc w:val="left"/>
              <w:rPr>
                <w:sz w:val="17"/>
                <w:szCs w:val="17"/>
              </w:rPr>
            </w:pPr>
            <w:r>
              <w:rPr>
                <w:sz w:val="17"/>
                <w:szCs w:val="17"/>
              </w:rPr>
              <w:t>3 611 548</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Аванс по налогу на прибыль</w:t>
            </w:r>
          </w:p>
        </w:tc>
        <w:tc>
          <w:tcPr>
            <w:tcW w:w="851" w:type="dxa"/>
            <w:vAlign w:val="bottom"/>
          </w:tcPr>
          <w:p w:rsidR="00FD06F3" w:rsidRDefault="00FD06F3">
            <w:pPr>
              <w:pStyle w:val="Tabletext"/>
              <w:widowControl w:val="0"/>
              <w:ind w:left="-108" w:right="-108"/>
              <w:jc w:val="center"/>
              <w:rPr>
                <w:sz w:val="17"/>
                <w:szCs w:val="17"/>
              </w:rPr>
            </w:pPr>
          </w:p>
        </w:tc>
        <w:tc>
          <w:tcPr>
            <w:tcW w:w="1701" w:type="dxa"/>
            <w:vAlign w:val="bottom"/>
          </w:tcPr>
          <w:p w:rsidR="00FD06F3" w:rsidRDefault="0054425B">
            <w:pPr>
              <w:tabs>
                <w:tab w:val="decimal" w:pos="1247"/>
              </w:tabs>
              <w:ind w:right="175"/>
              <w:jc w:val="left"/>
              <w:rPr>
                <w:sz w:val="17"/>
                <w:szCs w:val="17"/>
              </w:rPr>
            </w:pPr>
            <w:r>
              <w:rPr>
                <w:sz w:val="17"/>
                <w:szCs w:val="17"/>
              </w:rPr>
              <w:t>3 421</w:t>
            </w:r>
          </w:p>
        </w:tc>
        <w:tc>
          <w:tcPr>
            <w:tcW w:w="1701" w:type="dxa"/>
            <w:vAlign w:val="bottom"/>
          </w:tcPr>
          <w:p w:rsidR="00FD06F3" w:rsidRDefault="0054425B">
            <w:pPr>
              <w:widowControl w:val="0"/>
              <w:tabs>
                <w:tab w:val="decimal" w:pos="1247"/>
              </w:tabs>
              <w:ind w:right="175"/>
              <w:jc w:val="left"/>
              <w:rPr>
                <w:sz w:val="17"/>
                <w:szCs w:val="17"/>
              </w:rPr>
            </w:pPr>
            <w:r>
              <w:rPr>
                <w:sz w:val="17"/>
                <w:szCs w:val="17"/>
              </w:rPr>
              <w:t>13 623</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Денежные средства и их эквиваленты</w:t>
            </w:r>
          </w:p>
        </w:tc>
        <w:tc>
          <w:tcPr>
            <w:tcW w:w="851" w:type="dxa"/>
            <w:vAlign w:val="bottom"/>
          </w:tcPr>
          <w:p w:rsidR="00FD06F3" w:rsidRDefault="0054425B">
            <w:pPr>
              <w:pStyle w:val="Tabletext"/>
              <w:widowControl w:val="0"/>
              <w:ind w:left="-108" w:right="-108"/>
              <w:jc w:val="center"/>
              <w:rPr>
                <w:sz w:val="17"/>
                <w:szCs w:val="17"/>
              </w:rPr>
            </w:pPr>
            <w:r>
              <w:rPr>
                <w:sz w:val="17"/>
                <w:szCs w:val="17"/>
              </w:rPr>
              <w:t>9, 18.6</w:t>
            </w:r>
          </w:p>
        </w:tc>
        <w:tc>
          <w:tcPr>
            <w:tcW w:w="1701" w:type="dxa"/>
            <w:tcBorders>
              <w:bottom w:val="single" w:sz="6" w:space="0" w:color="auto"/>
            </w:tcBorders>
            <w:vAlign w:val="bottom"/>
          </w:tcPr>
          <w:p w:rsidR="00FD06F3" w:rsidRDefault="0054425B">
            <w:pPr>
              <w:tabs>
                <w:tab w:val="decimal" w:pos="1247"/>
              </w:tabs>
              <w:ind w:right="175"/>
              <w:jc w:val="left"/>
              <w:rPr>
                <w:sz w:val="17"/>
                <w:szCs w:val="17"/>
              </w:rPr>
            </w:pPr>
            <w:r>
              <w:rPr>
                <w:sz w:val="17"/>
                <w:szCs w:val="17"/>
              </w:rPr>
              <w:t>55 943</w:t>
            </w:r>
          </w:p>
        </w:tc>
        <w:tc>
          <w:tcPr>
            <w:tcW w:w="1701" w:type="dxa"/>
            <w:tcBorders>
              <w:bottom w:val="single" w:sz="6" w:space="0" w:color="auto"/>
            </w:tcBorders>
            <w:vAlign w:val="bottom"/>
          </w:tcPr>
          <w:p w:rsidR="00FD06F3" w:rsidRDefault="0054425B">
            <w:pPr>
              <w:tabs>
                <w:tab w:val="decimal" w:pos="1247"/>
              </w:tabs>
              <w:ind w:right="175"/>
              <w:jc w:val="left"/>
              <w:rPr>
                <w:sz w:val="17"/>
                <w:szCs w:val="17"/>
              </w:rPr>
            </w:pPr>
            <w:r>
              <w:rPr>
                <w:sz w:val="17"/>
                <w:szCs w:val="17"/>
              </w:rPr>
              <w:t>145 773</w:t>
            </w:r>
          </w:p>
        </w:tc>
      </w:tr>
      <w:tr w:rsidR="00FD06F3">
        <w:trPr>
          <w:trHeight w:val="23"/>
          <w:jc w:val="center"/>
        </w:trPr>
        <w:tc>
          <w:tcPr>
            <w:tcW w:w="5386" w:type="dxa"/>
            <w:vAlign w:val="bottom"/>
          </w:tcPr>
          <w:p w:rsidR="00FD06F3" w:rsidRDefault="0054425B">
            <w:pPr>
              <w:pStyle w:val="BoldTabletext"/>
              <w:widowControl w:val="0"/>
              <w:ind w:left="5" w:right="-108" w:hanging="113"/>
              <w:jc w:val="left"/>
              <w:rPr>
                <w:sz w:val="17"/>
                <w:szCs w:val="17"/>
              </w:rPr>
            </w:pPr>
            <w:r>
              <w:rPr>
                <w:sz w:val="17"/>
                <w:szCs w:val="17"/>
              </w:rPr>
              <w:t>Итого оборотные активы</w:t>
            </w:r>
          </w:p>
        </w:tc>
        <w:tc>
          <w:tcPr>
            <w:tcW w:w="851" w:type="dxa"/>
            <w:vAlign w:val="bottom"/>
          </w:tcPr>
          <w:p w:rsidR="00FD06F3" w:rsidRDefault="00FD06F3">
            <w:pPr>
              <w:pStyle w:val="Tabletext"/>
              <w:widowControl w:val="0"/>
              <w:ind w:left="-108" w:right="-108"/>
              <w:jc w:val="center"/>
              <w:rPr>
                <w:b/>
                <w:bCs/>
                <w:sz w:val="17"/>
                <w:szCs w:val="17"/>
              </w:rPr>
            </w:pPr>
          </w:p>
        </w:tc>
        <w:tc>
          <w:tcPr>
            <w:tcW w:w="1701" w:type="dxa"/>
            <w:tcBorders>
              <w:top w:val="single" w:sz="6" w:space="0" w:color="auto"/>
              <w:bottom w:val="single" w:sz="6" w:space="0" w:color="auto"/>
            </w:tcBorders>
            <w:vAlign w:val="bottom"/>
          </w:tcPr>
          <w:p w:rsidR="00FD06F3" w:rsidRDefault="0054425B">
            <w:pPr>
              <w:tabs>
                <w:tab w:val="decimal" w:pos="1247"/>
              </w:tabs>
              <w:ind w:right="175"/>
              <w:jc w:val="left"/>
              <w:rPr>
                <w:b/>
                <w:sz w:val="17"/>
                <w:szCs w:val="17"/>
              </w:rPr>
            </w:pPr>
            <w:r>
              <w:rPr>
                <w:b/>
                <w:sz w:val="17"/>
                <w:szCs w:val="17"/>
              </w:rPr>
              <w:t>5 553 043</w:t>
            </w:r>
          </w:p>
        </w:tc>
        <w:tc>
          <w:tcPr>
            <w:tcW w:w="1701" w:type="dxa"/>
            <w:tcBorders>
              <w:top w:val="single" w:sz="6" w:space="0" w:color="auto"/>
              <w:bottom w:val="single" w:sz="6" w:space="0" w:color="auto"/>
            </w:tcBorders>
            <w:vAlign w:val="bottom"/>
          </w:tcPr>
          <w:p w:rsidR="00FD06F3" w:rsidRDefault="0054425B">
            <w:pPr>
              <w:tabs>
                <w:tab w:val="decimal" w:pos="1247"/>
              </w:tabs>
              <w:ind w:right="175"/>
              <w:jc w:val="left"/>
              <w:rPr>
                <w:b/>
                <w:sz w:val="17"/>
                <w:szCs w:val="17"/>
              </w:rPr>
            </w:pPr>
            <w:r>
              <w:rPr>
                <w:b/>
                <w:sz w:val="17"/>
                <w:szCs w:val="17"/>
              </w:rPr>
              <w:t>5 400 173</w:t>
            </w:r>
          </w:p>
        </w:tc>
      </w:tr>
      <w:tr w:rsidR="00FD06F3">
        <w:trPr>
          <w:trHeight w:val="340"/>
          <w:jc w:val="center"/>
        </w:trPr>
        <w:tc>
          <w:tcPr>
            <w:tcW w:w="5386" w:type="dxa"/>
            <w:vAlign w:val="bottom"/>
          </w:tcPr>
          <w:p w:rsidR="00FD06F3" w:rsidRDefault="0054425B">
            <w:pPr>
              <w:pStyle w:val="BoldTabletext"/>
              <w:widowControl w:val="0"/>
              <w:ind w:left="5" w:right="-108" w:hanging="113"/>
              <w:jc w:val="left"/>
              <w:rPr>
                <w:sz w:val="17"/>
                <w:szCs w:val="17"/>
              </w:rPr>
            </w:pPr>
            <w:r>
              <w:rPr>
                <w:sz w:val="17"/>
                <w:szCs w:val="17"/>
              </w:rPr>
              <w:t>Итого активы</w:t>
            </w:r>
          </w:p>
        </w:tc>
        <w:tc>
          <w:tcPr>
            <w:tcW w:w="851" w:type="dxa"/>
            <w:vAlign w:val="bottom"/>
          </w:tcPr>
          <w:p w:rsidR="00FD06F3" w:rsidRDefault="00FD06F3">
            <w:pPr>
              <w:pStyle w:val="Tabletext"/>
              <w:widowControl w:val="0"/>
              <w:ind w:left="-108" w:right="-108"/>
              <w:jc w:val="center"/>
              <w:rPr>
                <w:sz w:val="17"/>
                <w:szCs w:val="17"/>
              </w:rPr>
            </w:pPr>
          </w:p>
        </w:tc>
        <w:tc>
          <w:tcPr>
            <w:tcW w:w="1701" w:type="dxa"/>
            <w:tcBorders>
              <w:top w:val="single" w:sz="6" w:space="0" w:color="auto"/>
              <w:bottom w:val="single" w:sz="12" w:space="0" w:color="auto"/>
            </w:tcBorders>
            <w:vAlign w:val="bottom"/>
          </w:tcPr>
          <w:p w:rsidR="00FD06F3" w:rsidRDefault="0054425B">
            <w:pPr>
              <w:widowControl w:val="0"/>
              <w:tabs>
                <w:tab w:val="decimal" w:pos="1247"/>
              </w:tabs>
              <w:ind w:right="175"/>
              <w:jc w:val="left"/>
              <w:rPr>
                <w:sz w:val="18"/>
                <w:szCs w:val="18"/>
              </w:rPr>
            </w:pPr>
            <w:r>
              <w:rPr>
                <w:b/>
                <w:sz w:val="17"/>
                <w:szCs w:val="17"/>
              </w:rPr>
              <w:t>12 837 806</w:t>
            </w:r>
          </w:p>
        </w:tc>
        <w:tc>
          <w:tcPr>
            <w:tcW w:w="1701" w:type="dxa"/>
            <w:tcBorders>
              <w:top w:val="single" w:sz="6" w:space="0" w:color="auto"/>
              <w:bottom w:val="single" w:sz="12" w:space="0" w:color="auto"/>
            </w:tcBorders>
            <w:vAlign w:val="bottom"/>
          </w:tcPr>
          <w:p w:rsidR="00FD06F3" w:rsidRDefault="0054425B">
            <w:pPr>
              <w:widowControl w:val="0"/>
              <w:tabs>
                <w:tab w:val="decimal" w:pos="1247"/>
              </w:tabs>
              <w:ind w:right="175"/>
              <w:jc w:val="left"/>
              <w:rPr>
                <w:b/>
                <w:sz w:val="17"/>
                <w:szCs w:val="17"/>
              </w:rPr>
            </w:pPr>
            <w:r>
              <w:rPr>
                <w:b/>
                <w:sz w:val="17"/>
                <w:szCs w:val="17"/>
              </w:rPr>
              <w:t>13 427 117</w:t>
            </w:r>
          </w:p>
        </w:tc>
      </w:tr>
      <w:tr w:rsidR="00FD06F3">
        <w:trPr>
          <w:trHeight w:hRule="exact" w:val="113"/>
          <w:jc w:val="center"/>
        </w:trPr>
        <w:tc>
          <w:tcPr>
            <w:tcW w:w="5386" w:type="dxa"/>
            <w:vAlign w:val="bottom"/>
          </w:tcPr>
          <w:p w:rsidR="00FD06F3" w:rsidRDefault="0054425B">
            <w:pPr>
              <w:pStyle w:val="BoldTabletext"/>
              <w:widowControl w:val="0"/>
              <w:ind w:left="5" w:right="-108" w:hanging="113"/>
              <w:jc w:val="left"/>
              <w:rPr>
                <w:sz w:val="17"/>
                <w:szCs w:val="17"/>
              </w:rPr>
            </w:pPr>
            <w:r>
              <w:rPr>
                <w:sz w:val="17"/>
                <w:szCs w:val="17"/>
              </w:rPr>
              <w:t xml:space="preserve"> </w:t>
            </w:r>
          </w:p>
        </w:tc>
        <w:tc>
          <w:tcPr>
            <w:tcW w:w="851" w:type="dxa"/>
            <w:vAlign w:val="bottom"/>
          </w:tcPr>
          <w:p w:rsidR="00FD06F3" w:rsidRDefault="00FD06F3">
            <w:pPr>
              <w:pStyle w:val="Tabletext"/>
              <w:widowControl w:val="0"/>
              <w:ind w:left="-108" w:right="-108"/>
              <w:jc w:val="center"/>
              <w:rPr>
                <w:sz w:val="17"/>
                <w:szCs w:val="17"/>
              </w:rPr>
            </w:pPr>
          </w:p>
        </w:tc>
        <w:tc>
          <w:tcPr>
            <w:tcW w:w="1701" w:type="dxa"/>
            <w:tcBorders>
              <w:top w:val="single" w:sz="6" w:space="0" w:color="auto"/>
            </w:tcBorders>
            <w:vAlign w:val="bottom"/>
          </w:tcPr>
          <w:p w:rsidR="00FD06F3" w:rsidRDefault="00FD06F3">
            <w:pPr>
              <w:widowControl w:val="0"/>
              <w:tabs>
                <w:tab w:val="decimal" w:pos="1247"/>
              </w:tabs>
              <w:ind w:right="175"/>
              <w:jc w:val="left"/>
              <w:rPr>
                <w:b/>
                <w:sz w:val="17"/>
                <w:szCs w:val="17"/>
              </w:rPr>
            </w:pPr>
          </w:p>
        </w:tc>
        <w:tc>
          <w:tcPr>
            <w:tcW w:w="1701" w:type="dxa"/>
            <w:tcBorders>
              <w:top w:val="single" w:sz="6" w:space="0" w:color="auto"/>
            </w:tcBorders>
            <w:vAlign w:val="bottom"/>
          </w:tcPr>
          <w:p w:rsidR="00FD06F3" w:rsidRDefault="00FD06F3">
            <w:pPr>
              <w:widowControl w:val="0"/>
              <w:tabs>
                <w:tab w:val="decimal" w:pos="1247"/>
              </w:tabs>
              <w:ind w:right="175"/>
              <w:jc w:val="left"/>
              <w:rPr>
                <w:b/>
                <w:sz w:val="17"/>
                <w:szCs w:val="17"/>
              </w:rPr>
            </w:pPr>
          </w:p>
        </w:tc>
      </w:tr>
      <w:tr w:rsidR="00FD06F3">
        <w:trPr>
          <w:trHeight w:val="23"/>
          <w:jc w:val="center"/>
        </w:trPr>
        <w:tc>
          <w:tcPr>
            <w:tcW w:w="5386" w:type="dxa"/>
            <w:vAlign w:val="bottom"/>
          </w:tcPr>
          <w:p w:rsidR="00FD06F3" w:rsidRDefault="0054425B">
            <w:pPr>
              <w:pStyle w:val="Tabletext"/>
              <w:widowControl w:val="0"/>
              <w:ind w:left="5" w:right="-108" w:hanging="113"/>
              <w:jc w:val="left"/>
              <w:rPr>
                <w:b/>
                <w:bCs/>
                <w:sz w:val="17"/>
                <w:szCs w:val="17"/>
              </w:rPr>
            </w:pPr>
            <w:r>
              <w:rPr>
                <w:b/>
                <w:bCs/>
                <w:sz w:val="17"/>
                <w:szCs w:val="17"/>
              </w:rPr>
              <w:t>Капитал</w:t>
            </w:r>
          </w:p>
        </w:tc>
        <w:tc>
          <w:tcPr>
            <w:tcW w:w="851" w:type="dxa"/>
            <w:vAlign w:val="bottom"/>
          </w:tcPr>
          <w:p w:rsidR="00FD06F3" w:rsidRDefault="00FD06F3">
            <w:pPr>
              <w:pStyle w:val="Tabletext"/>
              <w:widowControl w:val="0"/>
              <w:ind w:left="-108" w:right="-108"/>
              <w:jc w:val="center"/>
              <w:rPr>
                <w:sz w:val="17"/>
                <w:szCs w:val="17"/>
              </w:rPr>
            </w:pPr>
          </w:p>
        </w:tc>
        <w:tc>
          <w:tcPr>
            <w:tcW w:w="1701" w:type="dxa"/>
            <w:vAlign w:val="bottom"/>
          </w:tcPr>
          <w:p w:rsidR="00FD06F3" w:rsidRDefault="00FD06F3">
            <w:pPr>
              <w:pStyle w:val="Tabletext"/>
              <w:widowControl w:val="0"/>
              <w:tabs>
                <w:tab w:val="decimal" w:pos="1247"/>
              </w:tabs>
              <w:ind w:right="175"/>
              <w:jc w:val="left"/>
              <w:rPr>
                <w:sz w:val="17"/>
                <w:szCs w:val="17"/>
                <w:highlight w:val="yellow"/>
              </w:rPr>
            </w:pPr>
          </w:p>
        </w:tc>
        <w:tc>
          <w:tcPr>
            <w:tcW w:w="1701" w:type="dxa"/>
            <w:vAlign w:val="bottom"/>
          </w:tcPr>
          <w:p w:rsidR="00FD06F3" w:rsidRDefault="00FD06F3">
            <w:pPr>
              <w:pStyle w:val="Tabletext"/>
              <w:widowControl w:val="0"/>
              <w:tabs>
                <w:tab w:val="decimal" w:pos="1247"/>
              </w:tabs>
              <w:ind w:right="175"/>
              <w:jc w:val="left"/>
              <w:rPr>
                <w:sz w:val="17"/>
                <w:szCs w:val="17"/>
                <w:highlight w:val="yellow"/>
              </w:rPr>
            </w:pPr>
          </w:p>
        </w:tc>
      </w:tr>
      <w:tr w:rsidR="00FD06F3">
        <w:trPr>
          <w:trHeight w:val="23"/>
          <w:jc w:val="center"/>
        </w:trPr>
        <w:tc>
          <w:tcPr>
            <w:tcW w:w="5386" w:type="dxa"/>
            <w:vAlign w:val="bottom"/>
          </w:tcPr>
          <w:p w:rsidR="00FD06F3" w:rsidRDefault="0054425B">
            <w:pPr>
              <w:pStyle w:val="Tabletext"/>
              <w:widowControl w:val="0"/>
              <w:ind w:left="5" w:right="-108" w:hanging="113"/>
              <w:jc w:val="left"/>
              <w:rPr>
                <w:b/>
                <w:bCs/>
                <w:sz w:val="17"/>
                <w:szCs w:val="17"/>
              </w:rPr>
            </w:pPr>
            <w:r>
              <w:rPr>
                <w:b/>
                <w:bCs/>
                <w:sz w:val="17"/>
                <w:szCs w:val="17"/>
              </w:rPr>
              <w:t xml:space="preserve">Капитал, </w:t>
            </w:r>
            <w:r>
              <w:rPr>
                <w:b/>
                <w:bCs/>
                <w:sz w:val="17"/>
                <w:szCs w:val="17"/>
              </w:rPr>
              <w:t>приходящийся на акционеров материнской компании</w:t>
            </w:r>
          </w:p>
        </w:tc>
        <w:tc>
          <w:tcPr>
            <w:tcW w:w="851" w:type="dxa"/>
            <w:vAlign w:val="bottom"/>
          </w:tcPr>
          <w:p w:rsidR="00FD06F3" w:rsidRDefault="00FD06F3">
            <w:pPr>
              <w:pStyle w:val="Tabletext"/>
              <w:widowControl w:val="0"/>
              <w:ind w:left="-108" w:right="-108"/>
              <w:jc w:val="center"/>
              <w:rPr>
                <w:sz w:val="17"/>
                <w:szCs w:val="17"/>
              </w:rPr>
            </w:pPr>
          </w:p>
        </w:tc>
        <w:tc>
          <w:tcPr>
            <w:tcW w:w="1701" w:type="dxa"/>
            <w:vAlign w:val="bottom"/>
          </w:tcPr>
          <w:p w:rsidR="00FD06F3" w:rsidRDefault="00FD06F3">
            <w:pPr>
              <w:pStyle w:val="Tabletext"/>
              <w:widowControl w:val="0"/>
              <w:tabs>
                <w:tab w:val="decimal" w:pos="1247"/>
              </w:tabs>
              <w:ind w:right="175"/>
              <w:jc w:val="left"/>
              <w:rPr>
                <w:sz w:val="17"/>
                <w:szCs w:val="17"/>
                <w:highlight w:val="yellow"/>
              </w:rPr>
            </w:pPr>
          </w:p>
        </w:tc>
        <w:tc>
          <w:tcPr>
            <w:tcW w:w="1701" w:type="dxa"/>
            <w:vAlign w:val="bottom"/>
          </w:tcPr>
          <w:p w:rsidR="00FD06F3" w:rsidRDefault="00FD06F3">
            <w:pPr>
              <w:pStyle w:val="Tabletext"/>
              <w:widowControl w:val="0"/>
              <w:tabs>
                <w:tab w:val="decimal" w:pos="1247"/>
              </w:tabs>
              <w:ind w:right="175"/>
              <w:jc w:val="left"/>
              <w:rPr>
                <w:sz w:val="17"/>
                <w:szCs w:val="17"/>
                <w:highlight w:val="yellow"/>
              </w:rPr>
            </w:pP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Уставный капитал</w:t>
            </w:r>
          </w:p>
        </w:tc>
        <w:tc>
          <w:tcPr>
            <w:tcW w:w="851" w:type="dxa"/>
            <w:vAlign w:val="bottom"/>
          </w:tcPr>
          <w:p w:rsidR="00FD06F3" w:rsidRDefault="0054425B">
            <w:pPr>
              <w:pStyle w:val="Tabletext"/>
              <w:widowControl w:val="0"/>
              <w:ind w:left="-108" w:right="-108"/>
              <w:jc w:val="center"/>
              <w:rPr>
                <w:sz w:val="17"/>
                <w:szCs w:val="17"/>
              </w:rPr>
            </w:pPr>
            <w:r>
              <w:rPr>
                <w:sz w:val="17"/>
                <w:szCs w:val="17"/>
              </w:rPr>
              <w:t>10</w:t>
            </w:r>
          </w:p>
        </w:tc>
        <w:tc>
          <w:tcPr>
            <w:tcW w:w="1701" w:type="dxa"/>
            <w:vAlign w:val="bottom"/>
          </w:tcPr>
          <w:p w:rsidR="00FD06F3" w:rsidRDefault="0054425B">
            <w:pPr>
              <w:tabs>
                <w:tab w:val="decimal" w:pos="1247"/>
              </w:tabs>
              <w:ind w:right="175"/>
              <w:jc w:val="left"/>
              <w:rPr>
                <w:sz w:val="17"/>
                <w:szCs w:val="17"/>
              </w:rPr>
            </w:pPr>
            <w:r>
              <w:rPr>
                <w:sz w:val="17"/>
                <w:szCs w:val="17"/>
              </w:rPr>
              <w:t>11 023</w:t>
            </w:r>
          </w:p>
        </w:tc>
        <w:tc>
          <w:tcPr>
            <w:tcW w:w="1701" w:type="dxa"/>
            <w:vAlign w:val="bottom"/>
          </w:tcPr>
          <w:p w:rsidR="00FD06F3" w:rsidRDefault="0054425B">
            <w:pPr>
              <w:tabs>
                <w:tab w:val="decimal" w:pos="1247"/>
              </w:tabs>
              <w:ind w:right="175"/>
              <w:jc w:val="left"/>
              <w:rPr>
                <w:sz w:val="17"/>
                <w:szCs w:val="17"/>
              </w:rPr>
            </w:pPr>
            <w:r>
              <w:rPr>
                <w:sz w:val="17"/>
                <w:szCs w:val="17"/>
              </w:rPr>
              <w:t>11 023</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Эмиссионный доход</w:t>
            </w:r>
          </w:p>
        </w:tc>
        <w:tc>
          <w:tcPr>
            <w:tcW w:w="851" w:type="dxa"/>
            <w:vAlign w:val="bottom"/>
          </w:tcPr>
          <w:p w:rsidR="00FD06F3" w:rsidRDefault="00FD06F3">
            <w:pPr>
              <w:pStyle w:val="Tabletext"/>
              <w:widowControl w:val="0"/>
              <w:ind w:left="-108" w:right="-108"/>
              <w:jc w:val="center"/>
              <w:rPr>
                <w:sz w:val="17"/>
                <w:szCs w:val="17"/>
              </w:rPr>
            </w:pPr>
          </w:p>
        </w:tc>
        <w:tc>
          <w:tcPr>
            <w:tcW w:w="1701" w:type="dxa"/>
            <w:vAlign w:val="bottom"/>
          </w:tcPr>
          <w:p w:rsidR="00FD06F3" w:rsidRDefault="0054425B">
            <w:pPr>
              <w:tabs>
                <w:tab w:val="decimal" w:pos="1247"/>
              </w:tabs>
              <w:ind w:right="175"/>
              <w:jc w:val="left"/>
              <w:rPr>
                <w:sz w:val="17"/>
                <w:szCs w:val="17"/>
              </w:rPr>
            </w:pPr>
            <w:r>
              <w:rPr>
                <w:sz w:val="17"/>
                <w:szCs w:val="17"/>
              </w:rPr>
              <w:t>2 246 239</w:t>
            </w:r>
          </w:p>
        </w:tc>
        <w:tc>
          <w:tcPr>
            <w:tcW w:w="1701" w:type="dxa"/>
            <w:vAlign w:val="bottom"/>
          </w:tcPr>
          <w:p w:rsidR="00FD06F3" w:rsidRDefault="0054425B">
            <w:pPr>
              <w:tabs>
                <w:tab w:val="decimal" w:pos="1247"/>
              </w:tabs>
              <w:ind w:right="175"/>
              <w:jc w:val="left"/>
              <w:rPr>
                <w:sz w:val="17"/>
                <w:szCs w:val="17"/>
              </w:rPr>
            </w:pPr>
            <w:r>
              <w:rPr>
                <w:sz w:val="17"/>
                <w:szCs w:val="17"/>
              </w:rPr>
              <w:t>2 246 239</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Добавочный капитал</w:t>
            </w:r>
          </w:p>
        </w:tc>
        <w:tc>
          <w:tcPr>
            <w:tcW w:w="851" w:type="dxa"/>
            <w:vAlign w:val="bottom"/>
          </w:tcPr>
          <w:p w:rsidR="00FD06F3" w:rsidRDefault="00FD06F3">
            <w:pPr>
              <w:pStyle w:val="Tabletext"/>
              <w:widowControl w:val="0"/>
              <w:ind w:left="-108" w:right="-108"/>
              <w:jc w:val="center"/>
              <w:rPr>
                <w:sz w:val="17"/>
                <w:szCs w:val="17"/>
              </w:rPr>
            </w:pPr>
          </w:p>
        </w:tc>
        <w:tc>
          <w:tcPr>
            <w:tcW w:w="1701" w:type="dxa"/>
            <w:vAlign w:val="bottom"/>
          </w:tcPr>
          <w:p w:rsidR="00FD06F3" w:rsidRDefault="0054425B">
            <w:pPr>
              <w:tabs>
                <w:tab w:val="decimal" w:pos="1247"/>
              </w:tabs>
              <w:ind w:right="175"/>
              <w:jc w:val="left"/>
              <w:rPr>
                <w:sz w:val="17"/>
                <w:szCs w:val="17"/>
              </w:rPr>
            </w:pPr>
            <w:r>
              <w:rPr>
                <w:sz w:val="17"/>
                <w:szCs w:val="17"/>
              </w:rPr>
              <w:t>154 905</w:t>
            </w:r>
          </w:p>
        </w:tc>
        <w:tc>
          <w:tcPr>
            <w:tcW w:w="1701" w:type="dxa"/>
            <w:vAlign w:val="bottom"/>
          </w:tcPr>
          <w:p w:rsidR="00FD06F3" w:rsidRDefault="0054425B">
            <w:pPr>
              <w:tabs>
                <w:tab w:val="decimal" w:pos="1247"/>
              </w:tabs>
              <w:ind w:right="175"/>
              <w:jc w:val="left"/>
              <w:rPr>
                <w:sz w:val="17"/>
                <w:szCs w:val="17"/>
              </w:rPr>
            </w:pPr>
            <w:r>
              <w:rPr>
                <w:sz w:val="17"/>
                <w:szCs w:val="17"/>
              </w:rPr>
              <w:t>154 905</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Нераспределенная прибыль</w:t>
            </w:r>
          </w:p>
        </w:tc>
        <w:tc>
          <w:tcPr>
            <w:tcW w:w="851" w:type="dxa"/>
            <w:vAlign w:val="bottom"/>
          </w:tcPr>
          <w:p w:rsidR="00FD06F3" w:rsidRDefault="00FD06F3">
            <w:pPr>
              <w:pStyle w:val="Tabletext"/>
              <w:widowControl w:val="0"/>
              <w:ind w:left="-108" w:right="-108"/>
              <w:jc w:val="center"/>
              <w:rPr>
                <w:sz w:val="17"/>
                <w:szCs w:val="17"/>
              </w:rPr>
            </w:pPr>
          </w:p>
        </w:tc>
        <w:tc>
          <w:tcPr>
            <w:tcW w:w="1701" w:type="dxa"/>
            <w:tcBorders>
              <w:bottom w:val="single" w:sz="6" w:space="0" w:color="auto"/>
            </w:tcBorders>
            <w:vAlign w:val="bottom"/>
          </w:tcPr>
          <w:p w:rsidR="00FD06F3" w:rsidRDefault="0054425B">
            <w:pPr>
              <w:tabs>
                <w:tab w:val="decimal" w:pos="1247"/>
              </w:tabs>
              <w:ind w:right="175"/>
              <w:jc w:val="left"/>
              <w:rPr>
                <w:sz w:val="17"/>
                <w:szCs w:val="17"/>
              </w:rPr>
            </w:pPr>
            <w:r>
              <w:rPr>
                <w:sz w:val="17"/>
                <w:szCs w:val="17"/>
              </w:rPr>
              <w:t>6 349 231</w:t>
            </w:r>
          </w:p>
        </w:tc>
        <w:tc>
          <w:tcPr>
            <w:tcW w:w="1701" w:type="dxa"/>
            <w:tcBorders>
              <w:bottom w:val="single" w:sz="6" w:space="0" w:color="auto"/>
            </w:tcBorders>
            <w:vAlign w:val="bottom"/>
          </w:tcPr>
          <w:p w:rsidR="00FD06F3" w:rsidRDefault="0054425B">
            <w:pPr>
              <w:tabs>
                <w:tab w:val="decimal" w:pos="1247"/>
              </w:tabs>
              <w:ind w:right="175"/>
              <w:jc w:val="left"/>
              <w:rPr>
                <w:sz w:val="17"/>
                <w:szCs w:val="17"/>
              </w:rPr>
            </w:pPr>
            <w:r>
              <w:rPr>
                <w:sz w:val="17"/>
                <w:szCs w:val="17"/>
              </w:rPr>
              <w:t>5 304 893</w:t>
            </w:r>
          </w:p>
        </w:tc>
      </w:tr>
      <w:tr w:rsidR="00FD06F3">
        <w:trPr>
          <w:trHeight w:val="23"/>
          <w:jc w:val="center"/>
        </w:trPr>
        <w:tc>
          <w:tcPr>
            <w:tcW w:w="5386" w:type="dxa"/>
            <w:vAlign w:val="bottom"/>
          </w:tcPr>
          <w:p w:rsidR="00FD06F3" w:rsidRDefault="0054425B">
            <w:pPr>
              <w:pStyle w:val="BoldTabletext"/>
              <w:widowControl w:val="0"/>
              <w:ind w:left="5" w:right="-108" w:hanging="113"/>
              <w:jc w:val="left"/>
              <w:rPr>
                <w:rFonts w:ascii="Times New Roman Bold" w:hAnsi="Times New Roman Bold"/>
                <w:sz w:val="17"/>
                <w:szCs w:val="17"/>
              </w:rPr>
            </w:pPr>
            <w:r>
              <w:rPr>
                <w:sz w:val="17"/>
                <w:szCs w:val="17"/>
              </w:rPr>
              <w:t>Итого</w:t>
            </w:r>
            <w:r>
              <w:rPr>
                <w:rFonts w:ascii="Times New Roman Bold" w:hAnsi="Times New Roman Bold" w:cs="Times New Roman Bold"/>
                <w:sz w:val="17"/>
                <w:szCs w:val="17"/>
              </w:rPr>
              <w:t xml:space="preserve"> </w:t>
            </w:r>
            <w:r>
              <w:rPr>
                <w:sz w:val="17"/>
                <w:szCs w:val="17"/>
              </w:rPr>
              <w:t>капитал</w:t>
            </w:r>
            <w:r>
              <w:rPr>
                <w:rFonts w:ascii="Times New Roman Bold" w:hAnsi="Times New Roman Bold" w:cs="Times New Roman Bold"/>
                <w:sz w:val="17"/>
                <w:szCs w:val="17"/>
              </w:rPr>
              <w:t xml:space="preserve">, </w:t>
            </w:r>
            <w:r>
              <w:rPr>
                <w:sz w:val="17"/>
                <w:szCs w:val="17"/>
              </w:rPr>
              <w:t>приходящийся</w:t>
            </w:r>
            <w:r>
              <w:rPr>
                <w:rFonts w:ascii="Times New Roman Bold" w:hAnsi="Times New Roman Bold" w:cs="Times New Roman Bold"/>
                <w:sz w:val="17"/>
                <w:szCs w:val="17"/>
              </w:rPr>
              <w:t xml:space="preserve"> </w:t>
            </w:r>
            <w:r>
              <w:rPr>
                <w:sz w:val="17"/>
                <w:szCs w:val="17"/>
              </w:rPr>
              <w:t>на</w:t>
            </w:r>
            <w:r>
              <w:rPr>
                <w:rFonts w:ascii="Times New Roman Bold" w:hAnsi="Times New Roman Bold" w:cs="Times New Roman Bold"/>
                <w:sz w:val="17"/>
                <w:szCs w:val="17"/>
              </w:rPr>
              <w:t xml:space="preserve"> </w:t>
            </w:r>
            <w:r>
              <w:rPr>
                <w:sz w:val="17"/>
                <w:szCs w:val="17"/>
              </w:rPr>
              <w:t>акционеров</w:t>
            </w:r>
            <w:r>
              <w:rPr>
                <w:rFonts w:ascii="Times New Roman Bold" w:hAnsi="Times New Roman Bold" w:cs="Times New Roman Bold"/>
                <w:sz w:val="17"/>
                <w:szCs w:val="17"/>
              </w:rPr>
              <w:t xml:space="preserve"> </w:t>
            </w:r>
            <w:r>
              <w:rPr>
                <w:sz w:val="17"/>
                <w:szCs w:val="17"/>
              </w:rPr>
              <w:t>материнской</w:t>
            </w:r>
            <w:r>
              <w:rPr>
                <w:rFonts w:ascii="Times New Roman Bold" w:hAnsi="Times New Roman Bold" w:cs="Times New Roman Bold"/>
                <w:sz w:val="17"/>
                <w:szCs w:val="17"/>
              </w:rPr>
              <w:t xml:space="preserve"> </w:t>
            </w:r>
            <w:r>
              <w:rPr>
                <w:sz w:val="17"/>
                <w:szCs w:val="17"/>
              </w:rPr>
              <w:t>компании</w:t>
            </w:r>
          </w:p>
        </w:tc>
        <w:tc>
          <w:tcPr>
            <w:tcW w:w="851" w:type="dxa"/>
            <w:vAlign w:val="bottom"/>
          </w:tcPr>
          <w:p w:rsidR="00FD06F3" w:rsidRDefault="00FD06F3">
            <w:pPr>
              <w:pStyle w:val="Tabletext"/>
              <w:widowControl w:val="0"/>
              <w:ind w:left="-108" w:right="-108"/>
              <w:jc w:val="center"/>
              <w:rPr>
                <w:sz w:val="17"/>
                <w:szCs w:val="17"/>
              </w:rPr>
            </w:pPr>
          </w:p>
        </w:tc>
        <w:tc>
          <w:tcPr>
            <w:tcW w:w="1701" w:type="dxa"/>
            <w:tcBorders>
              <w:top w:val="single" w:sz="6" w:space="0" w:color="auto"/>
            </w:tcBorders>
            <w:vAlign w:val="bottom"/>
          </w:tcPr>
          <w:p w:rsidR="00FD06F3" w:rsidRDefault="0054425B">
            <w:pPr>
              <w:tabs>
                <w:tab w:val="decimal" w:pos="1247"/>
              </w:tabs>
              <w:ind w:right="175"/>
              <w:jc w:val="left"/>
              <w:rPr>
                <w:b/>
                <w:sz w:val="17"/>
                <w:szCs w:val="17"/>
              </w:rPr>
            </w:pPr>
            <w:r>
              <w:rPr>
                <w:b/>
                <w:sz w:val="17"/>
                <w:szCs w:val="17"/>
              </w:rPr>
              <w:t>8 761 398</w:t>
            </w:r>
          </w:p>
        </w:tc>
        <w:tc>
          <w:tcPr>
            <w:tcW w:w="1701" w:type="dxa"/>
            <w:tcBorders>
              <w:top w:val="single" w:sz="6" w:space="0" w:color="auto"/>
            </w:tcBorders>
            <w:vAlign w:val="bottom"/>
          </w:tcPr>
          <w:p w:rsidR="00FD06F3" w:rsidRDefault="0054425B">
            <w:pPr>
              <w:tabs>
                <w:tab w:val="decimal" w:pos="1247"/>
              </w:tabs>
              <w:ind w:right="175"/>
              <w:jc w:val="left"/>
              <w:rPr>
                <w:b/>
                <w:sz w:val="17"/>
                <w:szCs w:val="17"/>
              </w:rPr>
            </w:pPr>
            <w:r>
              <w:rPr>
                <w:b/>
                <w:sz w:val="17"/>
                <w:szCs w:val="17"/>
              </w:rPr>
              <w:t>7 717 060</w:t>
            </w:r>
          </w:p>
        </w:tc>
      </w:tr>
      <w:tr w:rsidR="00FD06F3">
        <w:trPr>
          <w:trHeight w:hRule="exact" w:val="85"/>
          <w:jc w:val="center"/>
        </w:trPr>
        <w:tc>
          <w:tcPr>
            <w:tcW w:w="5386" w:type="dxa"/>
            <w:vAlign w:val="bottom"/>
          </w:tcPr>
          <w:p w:rsidR="00FD06F3" w:rsidRDefault="0054425B">
            <w:pPr>
              <w:pStyle w:val="BoldTabletext"/>
              <w:widowControl w:val="0"/>
              <w:ind w:left="5" w:right="-108" w:hanging="113"/>
              <w:jc w:val="left"/>
              <w:rPr>
                <w:sz w:val="17"/>
                <w:szCs w:val="17"/>
              </w:rPr>
            </w:pPr>
            <w:r>
              <w:rPr>
                <w:sz w:val="17"/>
                <w:szCs w:val="17"/>
              </w:rPr>
              <w:t xml:space="preserve"> </w:t>
            </w:r>
          </w:p>
        </w:tc>
        <w:tc>
          <w:tcPr>
            <w:tcW w:w="851" w:type="dxa"/>
            <w:vAlign w:val="bottom"/>
          </w:tcPr>
          <w:p w:rsidR="00FD06F3" w:rsidRDefault="00FD06F3">
            <w:pPr>
              <w:pStyle w:val="Tabletext"/>
              <w:widowControl w:val="0"/>
              <w:ind w:left="-108" w:right="-108"/>
              <w:jc w:val="center"/>
              <w:rPr>
                <w:sz w:val="17"/>
                <w:szCs w:val="17"/>
              </w:rPr>
            </w:pPr>
          </w:p>
        </w:tc>
        <w:tc>
          <w:tcPr>
            <w:tcW w:w="1701" w:type="dxa"/>
            <w:vAlign w:val="bottom"/>
          </w:tcPr>
          <w:p w:rsidR="00FD06F3" w:rsidRDefault="00FD06F3">
            <w:pPr>
              <w:widowControl w:val="0"/>
              <w:tabs>
                <w:tab w:val="decimal" w:pos="1247"/>
              </w:tabs>
              <w:ind w:right="175"/>
              <w:jc w:val="left"/>
              <w:rPr>
                <w:b/>
                <w:sz w:val="17"/>
                <w:szCs w:val="17"/>
              </w:rPr>
            </w:pPr>
          </w:p>
        </w:tc>
        <w:tc>
          <w:tcPr>
            <w:tcW w:w="1701" w:type="dxa"/>
            <w:vAlign w:val="bottom"/>
          </w:tcPr>
          <w:p w:rsidR="00FD06F3" w:rsidRDefault="00FD06F3">
            <w:pPr>
              <w:widowControl w:val="0"/>
              <w:tabs>
                <w:tab w:val="decimal" w:pos="1247"/>
              </w:tabs>
              <w:ind w:right="175"/>
              <w:jc w:val="left"/>
              <w:rPr>
                <w:b/>
                <w:sz w:val="17"/>
                <w:szCs w:val="17"/>
              </w:rPr>
            </w:pPr>
          </w:p>
        </w:tc>
      </w:tr>
      <w:tr w:rsidR="00FD06F3">
        <w:trPr>
          <w:trHeight w:val="23"/>
          <w:jc w:val="center"/>
        </w:trPr>
        <w:tc>
          <w:tcPr>
            <w:tcW w:w="5386" w:type="dxa"/>
            <w:vAlign w:val="bottom"/>
          </w:tcPr>
          <w:p w:rsidR="00FD06F3" w:rsidRDefault="0054425B">
            <w:pPr>
              <w:pStyle w:val="BoldTabletext"/>
              <w:widowControl w:val="0"/>
              <w:ind w:left="5" w:right="-108" w:hanging="113"/>
              <w:jc w:val="left"/>
              <w:rPr>
                <w:b w:val="0"/>
                <w:bCs w:val="0"/>
                <w:sz w:val="17"/>
                <w:szCs w:val="17"/>
              </w:rPr>
            </w:pPr>
            <w:r>
              <w:rPr>
                <w:b w:val="0"/>
                <w:bCs w:val="0"/>
                <w:sz w:val="17"/>
                <w:szCs w:val="17"/>
              </w:rPr>
              <w:t>Неконтрольные доли участия</w:t>
            </w:r>
          </w:p>
        </w:tc>
        <w:tc>
          <w:tcPr>
            <w:tcW w:w="851" w:type="dxa"/>
            <w:vAlign w:val="bottom"/>
          </w:tcPr>
          <w:p w:rsidR="00FD06F3" w:rsidRDefault="00FD06F3">
            <w:pPr>
              <w:pStyle w:val="Tabletext"/>
              <w:widowControl w:val="0"/>
              <w:ind w:left="-108" w:right="-108"/>
              <w:jc w:val="center"/>
              <w:rPr>
                <w:sz w:val="17"/>
                <w:szCs w:val="17"/>
              </w:rPr>
            </w:pPr>
          </w:p>
        </w:tc>
        <w:tc>
          <w:tcPr>
            <w:tcW w:w="1701" w:type="dxa"/>
            <w:tcBorders>
              <w:bottom w:val="single" w:sz="6" w:space="0" w:color="auto"/>
            </w:tcBorders>
            <w:vAlign w:val="bottom"/>
          </w:tcPr>
          <w:p w:rsidR="00FD06F3" w:rsidRDefault="0054425B">
            <w:pPr>
              <w:widowControl w:val="0"/>
              <w:tabs>
                <w:tab w:val="decimal" w:pos="1247"/>
              </w:tabs>
              <w:ind w:right="175"/>
              <w:jc w:val="left"/>
              <w:rPr>
                <w:sz w:val="17"/>
                <w:szCs w:val="17"/>
              </w:rPr>
            </w:pPr>
            <w:r>
              <w:rPr>
                <w:sz w:val="17"/>
                <w:szCs w:val="17"/>
              </w:rPr>
              <w:t>384 450</w:t>
            </w:r>
          </w:p>
        </w:tc>
        <w:tc>
          <w:tcPr>
            <w:tcW w:w="1701" w:type="dxa"/>
            <w:tcBorders>
              <w:bottom w:val="single" w:sz="6" w:space="0" w:color="auto"/>
            </w:tcBorders>
            <w:vAlign w:val="bottom"/>
          </w:tcPr>
          <w:p w:rsidR="00FD06F3" w:rsidRDefault="0054425B">
            <w:pPr>
              <w:widowControl w:val="0"/>
              <w:tabs>
                <w:tab w:val="decimal" w:pos="1247"/>
              </w:tabs>
              <w:ind w:right="175"/>
              <w:jc w:val="left"/>
              <w:rPr>
                <w:sz w:val="17"/>
                <w:szCs w:val="17"/>
              </w:rPr>
            </w:pPr>
            <w:r>
              <w:rPr>
                <w:sz w:val="17"/>
                <w:szCs w:val="17"/>
              </w:rPr>
              <w:t>411 421</w:t>
            </w:r>
          </w:p>
        </w:tc>
      </w:tr>
      <w:tr w:rsidR="00FD06F3">
        <w:trPr>
          <w:trHeight w:val="23"/>
          <w:jc w:val="center"/>
        </w:trPr>
        <w:tc>
          <w:tcPr>
            <w:tcW w:w="5386" w:type="dxa"/>
            <w:vAlign w:val="bottom"/>
          </w:tcPr>
          <w:p w:rsidR="00FD06F3" w:rsidRDefault="0054425B">
            <w:pPr>
              <w:pStyle w:val="BoldTabletext"/>
              <w:widowControl w:val="0"/>
              <w:ind w:left="5" w:right="-108" w:hanging="113"/>
              <w:jc w:val="left"/>
              <w:rPr>
                <w:sz w:val="17"/>
                <w:szCs w:val="17"/>
              </w:rPr>
            </w:pPr>
            <w:r>
              <w:rPr>
                <w:sz w:val="17"/>
                <w:szCs w:val="17"/>
              </w:rPr>
              <w:t>Итого капитал</w:t>
            </w:r>
          </w:p>
        </w:tc>
        <w:tc>
          <w:tcPr>
            <w:tcW w:w="851" w:type="dxa"/>
            <w:vAlign w:val="bottom"/>
          </w:tcPr>
          <w:p w:rsidR="00FD06F3" w:rsidRDefault="00FD06F3">
            <w:pPr>
              <w:pStyle w:val="Tabletext"/>
              <w:widowControl w:val="0"/>
              <w:ind w:left="-108" w:right="-108"/>
              <w:jc w:val="center"/>
              <w:rPr>
                <w:sz w:val="17"/>
                <w:szCs w:val="17"/>
              </w:rPr>
            </w:pPr>
          </w:p>
        </w:tc>
        <w:tc>
          <w:tcPr>
            <w:tcW w:w="1701" w:type="dxa"/>
            <w:tcBorders>
              <w:top w:val="single" w:sz="6" w:space="0" w:color="auto"/>
              <w:bottom w:val="single" w:sz="6" w:space="0" w:color="auto"/>
            </w:tcBorders>
            <w:vAlign w:val="bottom"/>
          </w:tcPr>
          <w:p w:rsidR="00FD06F3" w:rsidRDefault="0054425B">
            <w:pPr>
              <w:widowControl w:val="0"/>
              <w:tabs>
                <w:tab w:val="decimal" w:pos="1247"/>
              </w:tabs>
              <w:ind w:right="175"/>
              <w:jc w:val="left"/>
              <w:rPr>
                <w:b/>
                <w:sz w:val="17"/>
                <w:szCs w:val="17"/>
              </w:rPr>
            </w:pPr>
            <w:r>
              <w:rPr>
                <w:b/>
                <w:sz w:val="17"/>
                <w:szCs w:val="17"/>
              </w:rPr>
              <w:t>9 145 848</w:t>
            </w:r>
          </w:p>
        </w:tc>
        <w:tc>
          <w:tcPr>
            <w:tcW w:w="1701" w:type="dxa"/>
            <w:tcBorders>
              <w:top w:val="single" w:sz="6" w:space="0" w:color="auto"/>
              <w:bottom w:val="single" w:sz="6" w:space="0" w:color="auto"/>
            </w:tcBorders>
            <w:vAlign w:val="bottom"/>
          </w:tcPr>
          <w:p w:rsidR="00FD06F3" w:rsidRDefault="0054425B">
            <w:pPr>
              <w:widowControl w:val="0"/>
              <w:tabs>
                <w:tab w:val="decimal" w:pos="1247"/>
              </w:tabs>
              <w:ind w:right="175"/>
              <w:jc w:val="left"/>
              <w:rPr>
                <w:b/>
                <w:sz w:val="17"/>
                <w:szCs w:val="17"/>
              </w:rPr>
            </w:pPr>
            <w:r>
              <w:rPr>
                <w:b/>
                <w:sz w:val="17"/>
                <w:szCs w:val="17"/>
              </w:rPr>
              <w:t>8 128 481</w:t>
            </w:r>
          </w:p>
        </w:tc>
      </w:tr>
      <w:tr w:rsidR="00FD06F3">
        <w:trPr>
          <w:trHeight w:hRule="exact" w:val="85"/>
          <w:jc w:val="center"/>
        </w:trPr>
        <w:tc>
          <w:tcPr>
            <w:tcW w:w="5386" w:type="dxa"/>
            <w:vAlign w:val="bottom"/>
          </w:tcPr>
          <w:p w:rsidR="00FD06F3" w:rsidRDefault="0054425B">
            <w:pPr>
              <w:pStyle w:val="BoldTabletext"/>
              <w:widowControl w:val="0"/>
              <w:ind w:left="5" w:right="-108" w:hanging="113"/>
              <w:jc w:val="left"/>
              <w:rPr>
                <w:sz w:val="17"/>
                <w:szCs w:val="17"/>
              </w:rPr>
            </w:pPr>
            <w:r>
              <w:rPr>
                <w:sz w:val="17"/>
                <w:szCs w:val="17"/>
              </w:rPr>
              <w:t xml:space="preserve"> </w:t>
            </w:r>
          </w:p>
        </w:tc>
        <w:tc>
          <w:tcPr>
            <w:tcW w:w="851" w:type="dxa"/>
            <w:vAlign w:val="bottom"/>
          </w:tcPr>
          <w:p w:rsidR="00FD06F3" w:rsidRDefault="00FD06F3">
            <w:pPr>
              <w:pStyle w:val="Tabletext"/>
              <w:widowControl w:val="0"/>
              <w:ind w:left="-108" w:right="-108"/>
              <w:jc w:val="center"/>
              <w:rPr>
                <w:sz w:val="17"/>
                <w:szCs w:val="17"/>
              </w:rPr>
            </w:pPr>
          </w:p>
        </w:tc>
        <w:tc>
          <w:tcPr>
            <w:tcW w:w="1701" w:type="dxa"/>
            <w:tcBorders>
              <w:top w:val="single" w:sz="6" w:space="0" w:color="auto"/>
            </w:tcBorders>
            <w:vAlign w:val="bottom"/>
          </w:tcPr>
          <w:p w:rsidR="00FD06F3" w:rsidRDefault="00FD06F3">
            <w:pPr>
              <w:widowControl w:val="0"/>
              <w:tabs>
                <w:tab w:val="decimal" w:pos="1247"/>
              </w:tabs>
              <w:ind w:right="175"/>
              <w:jc w:val="left"/>
              <w:rPr>
                <w:b/>
                <w:sz w:val="17"/>
                <w:szCs w:val="17"/>
              </w:rPr>
            </w:pPr>
          </w:p>
        </w:tc>
        <w:tc>
          <w:tcPr>
            <w:tcW w:w="1701" w:type="dxa"/>
            <w:tcBorders>
              <w:top w:val="single" w:sz="6" w:space="0" w:color="auto"/>
            </w:tcBorders>
            <w:vAlign w:val="bottom"/>
          </w:tcPr>
          <w:p w:rsidR="00FD06F3" w:rsidRDefault="00FD06F3">
            <w:pPr>
              <w:widowControl w:val="0"/>
              <w:tabs>
                <w:tab w:val="decimal" w:pos="1247"/>
              </w:tabs>
              <w:ind w:right="175"/>
              <w:jc w:val="left"/>
              <w:rPr>
                <w:b/>
                <w:sz w:val="17"/>
                <w:szCs w:val="17"/>
              </w:rPr>
            </w:pPr>
          </w:p>
        </w:tc>
      </w:tr>
      <w:tr w:rsidR="00FD06F3">
        <w:trPr>
          <w:trHeight w:val="23"/>
          <w:jc w:val="center"/>
        </w:trPr>
        <w:tc>
          <w:tcPr>
            <w:tcW w:w="5386" w:type="dxa"/>
            <w:vAlign w:val="bottom"/>
          </w:tcPr>
          <w:p w:rsidR="00FD06F3" w:rsidRDefault="0054425B">
            <w:pPr>
              <w:pStyle w:val="Tabletext"/>
              <w:widowControl w:val="0"/>
              <w:ind w:left="5" w:right="-108" w:hanging="113"/>
              <w:jc w:val="left"/>
              <w:rPr>
                <w:b/>
                <w:bCs/>
                <w:sz w:val="17"/>
                <w:szCs w:val="17"/>
              </w:rPr>
            </w:pPr>
            <w:r>
              <w:rPr>
                <w:b/>
                <w:bCs/>
                <w:sz w:val="17"/>
                <w:szCs w:val="17"/>
              </w:rPr>
              <w:t>Обязательства</w:t>
            </w:r>
          </w:p>
        </w:tc>
        <w:tc>
          <w:tcPr>
            <w:tcW w:w="851" w:type="dxa"/>
            <w:vAlign w:val="bottom"/>
          </w:tcPr>
          <w:p w:rsidR="00FD06F3" w:rsidRDefault="00FD06F3">
            <w:pPr>
              <w:pStyle w:val="Tabletext"/>
              <w:widowControl w:val="0"/>
              <w:ind w:left="-108" w:right="-108"/>
              <w:jc w:val="center"/>
              <w:rPr>
                <w:sz w:val="17"/>
                <w:szCs w:val="17"/>
              </w:rPr>
            </w:pPr>
          </w:p>
        </w:tc>
        <w:tc>
          <w:tcPr>
            <w:tcW w:w="1701" w:type="dxa"/>
            <w:vAlign w:val="bottom"/>
          </w:tcPr>
          <w:p w:rsidR="00FD06F3" w:rsidRDefault="00FD06F3">
            <w:pPr>
              <w:pStyle w:val="Tabletext"/>
              <w:widowControl w:val="0"/>
              <w:tabs>
                <w:tab w:val="decimal" w:pos="1247"/>
              </w:tabs>
              <w:ind w:right="175"/>
              <w:jc w:val="left"/>
              <w:rPr>
                <w:sz w:val="17"/>
                <w:szCs w:val="17"/>
                <w:highlight w:val="yellow"/>
              </w:rPr>
            </w:pPr>
          </w:p>
        </w:tc>
        <w:tc>
          <w:tcPr>
            <w:tcW w:w="1701" w:type="dxa"/>
            <w:vAlign w:val="bottom"/>
          </w:tcPr>
          <w:p w:rsidR="00FD06F3" w:rsidRDefault="00FD06F3">
            <w:pPr>
              <w:pStyle w:val="Tabletext"/>
              <w:widowControl w:val="0"/>
              <w:tabs>
                <w:tab w:val="decimal" w:pos="1247"/>
              </w:tabs>
              <w:ind w:right="175"/>
              <w:jc w:val="left"/>
              <w:rPr>
                <w:sz w:val="17"/>
                <w:szCs w:val="17"/>
                <w:highlight w:val="yellow"/>
              </w:rPr>
            </w:pPr>
          </w:p>
        </w:tc>
      </w:tr>
      <w:tr w:rsidR="00FD06F3">
        <w:trPr>
          <w:trHeight w:val="23"/>
          <w:jc w:val="center"/>
        </w:trPr>
        <w:tc>
          <w:tcPr>
            <w:tcW w:w="5386" w:type="dxa"/>
            <w:vAlign w:val="bottom"/>
          </w:tcPr>
          <w:p w:rsidR="00FD06F3" w:rsidRDefault="0054425B">
            <w:pPr>
              <w:pStyle w:val="Tabletext"/>
              <w:widowControl w:val="0"/>
              <w:ind w:left="5" w:right="-108" w:hanging="113"/>
              <w:jc w:val="left"/>
              <w:rPr>
                <w:b/>
                <w:bCs/>
                <w:sz w:val="17"/>
                <w:szCs w:val="17"/>
              </w:rPr>
            </w:pPr>
            <w:r>
              <w:rPr>
                <w:b/>
                <w:bCs/>
                <w:sz w:val="17"/>
                <w:szCs w:val="17"/>
              </w:rPr>
              <w:t>Долгосрочные обязательства</w:t>
            </w:r>
          </w:p>
        </w:tc>
        <w:tc>
          <w:tcPr>
            <w:tcW w:w="851" w:type="dxa"/>
            <w:vAlign w:val="bottom"/>
          </w:tcPr>
          <w:p w:rsidR="00FD06F3" w:rsidRDefault="00FD06F3">
            <w:pPr>
              <w:pStyle w:val="Tabletext"/>
              <w:widowControl w:val="0"/>
              <w:ind w:left="-108" w:right="-108"/>
              <w:jc w:val="center"/>
              <w:rPr>
                <w:sz w:val="17"/>
                <w:szCs w:val="17"/>
              </w:rPr>
            </w:pPr>
          </w:p>
        </w:tc>
        <w:tc>
          <w:tcPr>
            <w:tcW w:w="1701" w:type="dxa"/>
            <w:vAlign w:val="bottom"/>
          </w:tcPr>
          <w:p w:rsidR="00FD06F3" w:rsidRDefault="00FD06F3">
            <w:pPr>
              <w:pStyle w:val="Tabletext"/>
              <w:widowControl w:val="0"/>
              <w:tabs>
                <w:tab w:val="decimal" w:pos="1247"/>
              </w:tabs>
              <w:ind w:right="175"/>
              <w:jc w:val="left"/>
              <w:rPr>
                <w:sz w:val="17"/>
                <w:szCs w:val="17"/>
                <w:highlight w:val="yellow"/>
              </w:rPr>
            </w:pPr>
          </w:p>
        </w:tc>
        <w:tc>
          <w:tcPr>
            <w:tcW w:w="1701" w:type="dxa"/>
            <w:vAlign w:val="bottom"/>
          </w:tcPr>
          <w:p w:rsidR="00FD06F3" w:rsidRDefault="00FD06F3">
            <w:pPr>
              <w:pStyle w:val="Tabletext"/>
              <w:widowControl w:val="0"/>
              <w:tabs>
                <w:tab w:val="decimal" w:pos="1247"/>
              </w:tabs>
              <w:ind w:right="175"/>
              <w:jc w:val="left"/>
              <w:rPr>
                <w:sz w:val="17"/>
                <w:szCs w:val="17"/>
                <w:highlight w:val="yellow"/>
              </w:rPr>
            </w:pP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Банковские кредиты</w:t>
            </w:r>
          </w:p>
        </w:tc>
        <w:tc>
          <w:tcPr>
            <w:tcW w:w="851" w:type="dxa"/>
            <w:vAlign w:val="bottom"/>
          </w:tcPr>
          <w:p w:rsidR="00FD06F3" w:rsidRDefault="0054425B">
            <w:pPr>
              <w:pStyle w:val="Tabletext"/>
              <w:widowControl w:val="0"/>
              <w:ind w:left="-108" w:right="-108"/>
              <w:jc w:val="center"/>
              <w:rPr>
                <w:sz w:val="17"/>
                <w:szCs w:val="17"/>
              </w:rPr>
            </w:pPr>
            <w:r>
              <w:rPr>
                <w:sz w:val="17"/>
                <w:szCs w:val="17"/>
              </w:rPr>
              <w:t>11</w:t>
            </w:r>
          </w:p>
        </w:tc>
        <w:tc>
          <w:tcPr>
            <w:tcW w:w="1701" w:type="dxa"/>
            <w:vAlign w:val="bottom"/>
          </w:tcPr>
          <w:p w:rsidR="00FD06F3" w:rsidRDefault="0054425B">
            <w:pPr>
              <w:tabs>
                <w:tab w:val="decimal" w:pos="1247"/>
              </w:tabs>
              <w:ind w:right="175"/>
              <w:jc w:val="left"/>
              <w:rPr>
                <w:sz w:val="17"/>
                <w:szCs w:val="17"/>
              </w:rPr>
            </w:pPr>
            <w:r>
              <w:rPr>
                <w:sz w:val="17"/>
                <w:szCs w:val="17"/>
              </w:rPr>
              <w:t>49 856</w:t>
            </w:r>
          </w:p>
        </w:tc>
        <w:tc>
          <w:tcPr>
            <w:tcW w:w="1701" w:type="dxa"/>
            <w:vAlign w:val="bottom"/>
          </w:tcPr>
          <w:p w:rsidR="00FD06F3" w:rsidRDefault="0054425B">
            <w:pPr>
              <w:tabs>
                <w:tab w:val="decimal" w:pos="1247"/>
              </w:tabs>
              <w:ind w:right="175"/>
              <w:jc w:val="left"/>
              <w:rPr>
                <w:sz w:val="17"/>
                <w:szCs w:val="17"/>
              </w:rPr>
            </w:pPr>
            <w:r>
              <w:rPr>
                <w:sz w:val="17"/>
                <w:szCs w:val="17"/>
              </w:rPr>
              <w:t>108 546</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 xml:space="preserve">Займы, полученные от связанных </w:t>
            </w:r>
            <w:r>
              <w:rPr>
                <w:sz w:val="17"/>
                <w:szCs w:val="17"/>
              </w:rPr>
              <w:t>сторон</w:t>
            </w:r>
          </w:p>
        </w:tc>
        <w:tc>
          <w:tcPr>
            <w:tcW w:w="851" w:type="dxa"/>
            <w:vAlign w:val="bottom"/>
          </w:tcPr>
          <w:p w:rsidR="00FD06F3" w:rsidRDefault="0054425B">
            <w:pPr>
              <w:pStyle w:val="Tabletext"/>
              <w:widowControl w:val="0"/>
              <w:ind w:left="-108" w:right="-108"/>
              <w:jc w:val="center"/>
              <w:rPr>
                <w:sz w:val="17"/>
                <w:szCs w:val="17"/>
              </w:rPr>
            </w:pPr>
            <w:r>
              <w:rPr>
                <w:sz w:val="17"/>
                <w:szCs w:val="17"/>
              </w:rPr>
              <w:t>11, 18.1</w:t>
            </w:r>
          </w:p>
        </w:tc>
        <w:tc>
          <w:tcPr>
            <w:tcW w:w="1701" w:type="dxa"/>
            <w:vAlign w:val="bottom"/>
          </w:tcPr>
          <w:p w:rsidR="00FD06F3" w:rsidRDefault="0054425B">
            <w:pPr>
              <w:tabs>
                <w:tab w:val="decimal" w:pos="1247"/>
              </w:tabs>
              <w:ind w:right="175"/>
              <w:jc w:val="left"/>
              <w:rPr>
                <w:sz w:val="17"/>
                <w:szCs w:val="17"/>
              </w:rPr>
            </w:pPr>
            <w:r>
              <w:rPr>
                <w:sz w:val="17"/>
                <w:szCs w:val="17"/>
              </w:rPr>
              <w:t>24 615</w:t>
            </w:r>
          </w:p>
        </w:tc>
        <w:tc>
          <w:tcPr>
            <w:tcW w:w="1701" w:type="dxa"/>
            <w:vAlign w:val="bottom"/>
          </w:tcPr>
          <w:p w:rsidR="00FD06F3" w:rsidRDefault="0054425B">
            <w:pPr>
              <w:tabs>
                <w:tab w:val="decimal" w:pos="1247"/>
              </w:tabs>
              <w:ind w:right="175"/>
              <w:jc w:val="left"/>
              <w:rPr>
                <w:sz w:val="17"/>
                <w:szCs w:val="17"/>
              </w:rPr>
            </w:pPr>
            <w:r>
              <w:rPr>
                <w:sz w:val="17"/>
                <w:szCs w:val="17"/>
              </w:rPr>
              <w:t>858 164</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Обязательство по отложенному налогу на прибыль</w:t>
            </w:r>
          </w:p>
        </w:tc>
        <w:tc>
          <w:tcPr>
            <w:tcW w:w="851" w:type="dxa"/>
            <w:vAlign w:val="bottom"/>
          </w:tcPr>
          <w:p w:rsidR="00FD06F3" w:rsidRDefault="0054425B">
            <w:pPr>
              <w:pStyle w:val="Tabletext"/>
              <w:widowControl w:val="0"/>
              <w:ind w:left="-108" w:right="-108"/>
              <w:jc w:val="center"/>
              <w:rPr>
                <w:sz w:val="17"/>
                <w:szCs w:val="17"/>
              </w:rPr>
            </w:pPr>
            <w:r>
              <w:rPr>
                <w:sz w:val="17"/>
                <w:szCs w:val="17"/>
              </w:rPr>
              <w:t>12</w:t>
            </w:r>
          </w:p>
        </w:tc>
        <w:tc>
          <w:tcPr>
            <w:tcW w:w="1701" w:type="dxa"/>
            <w:vAlign w:val="bottom"/>
          </w:tcPr>
          <w:p w:rsidR="00FD06F3" w:rsidRDefault="0054425B">
            <w:pPr>
              <w:tabs>
                <w:tab w:val="decimal" w:pos="1247"/>
              </w:tabs>
              <w:ind w:right="175"/>
              <w:jc w:val="left"/>
              <w:rPr>
                <w:sz w:val="17"/>
                <w:szCs w:val="17"/>
              </w:rPr>
            </w:pPr>
            <w:r>
              <w:rPr>
                <w:sz w:val="17"/>
                <w:szCs w:val="17"/>
              </w:rPr>
              <w:t>375 535</w:t>
            </w:r>
          </w:p>
        </w:tc>
        <w:tc>
          <w:tcPr>
            <w:tcW w:w="1701" w:type="dxa"/>
            <w:vAlign w:val="bottom"/>
          </w:tcPr>
          <w:p w:rsidR="00FD06F3" w:rsidRDefault="0054425B">
            <w:pPr>
              <w:tabs>
                <w:tab w:val="decimal" w:pos="1247"/>
              </w:tabs>
              <w:ind w:right="175"/>
              <w:jc w:val="left"/>
              <w:rPr>
                <w:sz w:val="17"/>
                <w:szCs w:val="17"/>
              </w:rPr>
            </w:pPr>
            <w:r>
              <w:rPr>
                <w:sz w:val="17"/>
                <w:szCs w:val="17"/>
              </w:rPr>
              <w:t>406 428</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Обязательства по пенсионным выплатам</w:t>
            </w:r>
          </w:p>
        </w:tc>
        <w:tc>
          <w:tcPr>
            <w:tcW w:w="851" w:type="dxa"/>
            <w:vAlign w:val="bottom"/>
          </w:tcPr>
          <w:p w:rsidR="00FD06F3" w:rsidRDefault="0054425B">
            <w:pPr>
              <w:pStyle w:val="Tabletext"/>
              <w:widowControl w:val="0"/>
              <w:ind w:left="-108" w:right="-108"/>
              <w:jc w:val="center"/>
              <w:rPr>
                <w:sz w:val="17"/>
                <w:szCs w:val="17"/>
              </w:rPr>
            </w:pPr>
            <w:r>
              <w:rPr>
                <w:sz w:val="17"/>
                <w:szCs w:val="17"/>
              </w:rPr>
              <w:t>14</w:t>
            </w:r>
          </w:p>
        </w:tc>
        <w:tc>
          <w:tcPr>
            <w:tcW w:w="1701" w:type="dxa"/>
            <w:vAlign w:val="bottom"/>
          </w:tcPr>
          <w:p w:rsidR="00FD06F3" w:rsidRDefault="0054425B">
            <w:pPr>
              <w:tabs>
                <w:tab w:val="decimal" w:pos="1247"/>
              </w:tabs>
              <w:ind w:right="175"/>
              <w:jc w:val="left"/>
              <w:rPr>
                <w:sz w:val="17"/>
                <w:szCs w:val="17"/>
              </w:rPr>
            </w:pPr>
            <w:r>
              <w:rPr>
                <w:sz w:val="17"/>
                <w:szCs w:val="17"/>
              </w:rPr>
              <w:t>59 556</w:t>
            </w:r>
          </w:p>
        </w:tc>
        <w:tc>
          <w:tcPr>
            <w:tcW w:w="1701" w:type="dxa"/>
            <w:vAlign w:val="bottom"/>
          </w:tcPr>
          <w:p w:rsidR="00FD06F3" w:rsidRDefault="0054425B">
            <w:pPr>
              <w:tabs>
                <w:tab w:val="decimal" w:pos="1247"/>
              </w:tabs>
              <w:ind w:right="175"/>
              <w:jc w:val="left"/>
              <w:rPr>
                <w:sz w:val="17"/>
                <w:szCs w:val="17"/>
              </w:rPr>
            </w:pPr>
            <w:r>
              <w:rPr>
                <w:sz w:val="17"/>
                <w:szCs w:val="17"/>
              </w:rPr>
              <w:t>50 981</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Обязательства по финансовым гарантиям</w:t>
            </w:r>
          </w:p>
        </w:tc>
        <w:tc>
          <w:tcPr>
            <w:tcW w:w="851" w:type="dxa"/>
            <w:vAlign w:val="bottom"/>
          </w:tcPr>
          <w:p w:rsidR="00FD06F3" w:rsidRDefault="0054425B">
            <w:pPr>
              <w:pStyle w:val="Tabletext"/>
              <w:widowControl w:val="0"/>
              <w:ind w:left="-108" w:right="-108"/>
              <w:jc w:val="center"/>
              <w:rPr>
                <w:sz w:val="17"/>
                <w:szCs w:val="17"/>
              </w:rPr>
            </w:pPr>
            <w:r>
              <w:rPr>
                <w:sz w:val="17"/>
                <w:szCs w:val="17"/>
              </w:rPr>
              <w:t>18.8</w:t>
            </w:r>
          </w:p>
        </w:tc>
        <w:tc>
          <w:tcPr>
            <w:tcW w:w="1701" w:type="dxa"/>
            <w:tcBorders>
              <w:bottom w:val="single" w:sz="6" w:space="0" w:color="auto"/>
            </w:tcBorders>
            <w:vAlign w:val="bottom"/>
          </w:tcPr>
          <w:p w:rsidR="00FD06F3" w:rsidRDefault="0054425B">
            <w:pPr>
              <w:tabs>
                <w:tab w:val="decimal" w:pos="1247"/>
              </w:tabs>
              <w:ind w:right="175"/>
              <w:jc w:val="left"/>
              <w:rPr>
                <w:sz w:val="17"/>
                <w:szCs w:val="17"/>
              </w:rPr>
            </w:pPr>
            <w:r>
              <w:rPr>
                <w:sz w:val="17"/>
                <w:szCs w:val="17"/>
              </w:rPr>
              <w:t>3 067</w:t>
            </w:r>
          </w:p>
        </w:tc>
        <w:tc>
          <w:tcPr>
            <w:tcW w:w="1701" w:type="dxa"/>
            <w:tcBorders>
              <w:bottom w:val="single" w:sz="6" w:space="0" w:color="auto"/>
            </w:tcBorders>
            <w:vAlign w:val="bottom"/>
          </w:tcPr>
          <w:p w:rsidR="00FD06F3" w:rsidRDefault="0054425B">
            <w:pPr>
              <w:tabs>
                <w:tab w:val="decimal" w:pos="1247"/>
              </w:tabs>
              <w:ind w:right="175"/>
              <w:jc w:val="left"/>
              <w:rPr>
                <w:sz w:val="17"/>
                <w:szCs w:val="17"/>
              </w:rPr>
            </w:pPr>
            <w:r>
              <w:rPr>
                <w:sz w:val="17"/>
                <w:szCs w:val="17"/>
              </w:rPr>
              <w:t>3 836</w:t>
            </w:r>
          </w:p>
        </w:tc>
      </w:tr>
      <w:tr w:rsidR="00FD06F3">
        <w:trPr>
          <w:trHeight w:val="23"/>
          <w:jc w:val="center"/>
        </w:trPr>
        <w:tc>
          <w:tcPr>
            <w:tcW w:w="5386" w:type="dxa"/>
            <w:vAlign w:val="bottom"/>
          </w:tcPr>
          <w:p w:rsidR="00FD06F3" w:rsidRDefault="0054425B">
            <w:pPr>
              <w:pStyle w:val="BoldTabletext"/>
              <w:widowControl w:val="0"/>
              <w:ind w:left="5" w:right="-108" w:hanging="113"/>
              <w:jc w:val="left"/>
              <w:rPr>
                <w:sz w:val="17"/>
                <w:szCs w:val="17"/>
              </w:rPr>
            </w:pPr>
            <w:r>
              <w:rPr>
                <w:sz w:val="17"/>
                <w:szCs w:val="17"/>
              </w:rPr>
              <w:t>Итого долгосрочные обязательства</w:t>
            </w:r>
          </w:p>
        </w:tc>
        <w:tc>
          <w:tcPr>
            <w:tcW w:w="851" w:type="dxa"/>
            <w:vAlign w:val="bottom"/>
          </w:tcPr>
          <w:p w:rsidR="00FD06F3" w:rsidRDefault="00FD06F3">
            <w:pPr>
              <w:pStyle w:val="Tabletext"/>
              <w:widowControl w:val="0"/>
              <w:ind w:left="-108" w:right="-108"/>
              <w:jc w:val="center"/>
              <w:rPr>
                <w:sz w:val="17"/>
                <w:szCs w:val="17"/>
              </w:rPr>
            </w:pPr>
          </w:p>
        </w:tc>
        <w:tc>
          <w:tcPr>
            <w:tcW w:w="1701" w:type="dxa"/>
            <w:tcBorders>
              <w:top w:val="single" w:sz="6" w:space="0" w:color="auto"/>
              <w:bottom w:val="single" w:sz="6" w:space="0" w:color="auto"/>
            </w:tcBorders>
            <w:vAlign w:val="bottom"/>
          </w:tcPr>
          <w:p w:rsidR="00FD06F3" w:rsidRDefault="0054425B">
            <w:pPr>
              <w:tabs>
                <w:tab w:val="decimal" w:pos="1247"/>
              </w:tabs>
              <w:ind w:right="175"/>
              <w:jc w:val="left"/>
              <w:rPr>
                <w:b/>
                <w:sz w:val="17"/>
                <w:szCs w:val="17"/>
              </w:rPr>
            </w:pPr>
            <w:r>
              <w:rPr>
                <w:b/>
                <w:sz w:val="17"/>
                <w:szCs w:val="17"/>
              </w:rPr>
              <w:t>512 629</w:t>
            </w:r>
          </w:p>
        </w:tc>
        <w:tc>
          <w:tcPr>
            <w:tcW w:w="1701" w:type="dxa"/>
            <w:tcBorders>
              <w:top w:val="single" w:sz="6" w:space="0" w:color="auto"/>
              <w:bottom w:val="single" w:sz="6" w:space="0" w:color="auto"/>
            </w:tcBorders>
            <w:vAlign w:val="bottom"/>
          </w:tcPr>
          <w:p w:rsidR="00FD06F3" w:rsidRDefault="0054425B">
            <w:pPr>
              <w:tabs>
                <w:tab w:val="decimal" w:pos="1247"/>
              </w:tabs>
              <w:ind w:right="175"/>
              <w:jc w:val="left"/>
              <w:rPr>
                <w:b/>
                <w:sz w:val="17"/>
                <w:szCs w:val="17"/>
              </w:rPr>
            </w:pPr>
            <w:r>
              <w:rPr>
                <w:b/>
                <w:sz w:val="17"/>
                <w:szCs w:val="17"/>
              </w:rPr>
              <w:t xml:space="preserve">1 </w:t>
            </w:r>
            <w:r>
              <w:rPr>
                <w:b/>
                <w:sz w:val="17"/>
                <w:szCs w:val="17"/>
              </w:rPr>
              <w:t>427 955</w:t>
            </w:r>
          </w:p>
        </w:tc>
      </w:tr>
      <w:tr w:rsidR="00FD06F3">
        <w:trPr>
          <w:trHeight w:hRule="exact" w:val="85"/>
          <w:jc w:val="center"/>
        </w:trPr>
        <w:tc>
          <w:tcPr>
            <w:tcW w:w="5386" w:type="dxa"/>
            <w:vAlign w:val="bottom"/>
          </w:tcPr>
          <w:p w:rsidR="00FD06F3" w:rsidRDefault="0054425B">
            <w:pPr>
              <w:pStyle w:val="BoldTabletext"/>
              <w:widowControl w:val="0"/>
              <w:ind w:left="5" w:right="-108" w:hanging="113"/>
              <w:jc w:val="left"/>
              <w:rPr>
                <w:sz w:val="17"/>
                <w:szCs w:val="17"/>
              </w:rPr>
            </w:pPr>
            <w:r>
              <w:rPr>
                <w:sz w:val="17"/>
                <w:szCs w:val="17"/>
              </w:rPr>
              <w:t xml:space="preserve"> </w:t>
            </w:r>
          </w:p>
        </w:tc>
        <w:tc>
          <w:tcPr>
            <w:tcW w:w="851" w:type="dxa"/>
            <w:vAlign w:val="bottom"/>
          </w:tcPr>
          <w:p w:rsidR="00FD06F3" w:rsidRDefault="00FD06F3">
            <w:pPr>
              <w:pStyle w:val="Tabletext"/>
              <w:widowControl w:val="0"/>
              <w:ind w:left="-108" w:right="-108"/>
              <w:jc w:val="center"/>
              <w:rPr>
                <w:sz w:val="17"/>
                <w:szCs w:val="17"/>
              </w:rPr>
            </w:pPr>
          </w:p>
        </w:tc>
        <w:tc>
          <w:tcPr>
            <w:tcW w:w="1701" w:type="dxa"/>
            <w:tcBorders>
              <w:top w:val="single" w:sz="6" w:space="0" w:color="auto"/>
            </w:tcBorders>
            <w:vAlign w:val="bottom"/>
          </w:tcPr>
          <w:p w:rsidR="00FD06F3" w:rsidRDefault="00FD06F3">
            <w:pPr>
              <w:widowControl w:val="0"/>
              <w:tabs>
                <w:tab w:val="decimal" w:pos="1247"/>
              </w:tabs>
              <w:ind w:right="175"/>
              <w:jc w:val="left"/>
              <w:rPr>
                <w:b/>
                <w:sz w:val="17"/>
                <w:szCs w:val="17"/>
              </w:rPr>
            </w:pPr>
          </w:p>
        </w:tc>
        <w:tc>
          <w:tcPr>
            <w:tcW w:w="1701" w:type="dxa"/>
            <w:tcBorders>
              <w:top w:val="single" w:sz="6" w:space="0" w:color="auto"/>
            </w:tcBorders>
            <w:vAlign w:val="bottom"/>
          </w:tcPr>
          <w:p w:rsidR="00FD06F3" w:rsidRDefault="00FD06F3">
            <w:pPr>
              <w:widowControl w:val="0"/>
              <w:tabs>
                <w:tab w:val="decimal" w:pos="1247"/>
              </w:tabs>
              <w:ind w:right="175"/>
              <w:jc w:val="left"/>
              <w:rPr>
                <w:b/>
                <w:sz w:val="17"/>
                <w:szCs w:val="17"/>
              </w:rPr>
            </w:pPr>
          </w:p>
        </w:tc>
      </w:tr>
      <w:tr w:rsidR="00FD06F3">
        <w:trPr>
          <w:trHeight w:val="23"/>
          <w:jc w:val="center"/>
        </w:trPr>
        <w:tc>
          <w:tcPr>
            <w:tcW w:w="5386" w:type="dxa"/>
            <w:vAlign w:val="bottom"/>
          </w:tcPr>
          <w:p w:rsidR="00FD06F3" w:rsidRDefault="0054425B">
            <w:pPr>
              <w:pStyle w:val="Tabletext"/>
              <w:widowControl w:val="0"/>
              <w:ind w:left="5" w:right="-108" w:hanging="113"/>
              <w:jc w:val="left"/>
              <w:rPr>
                <w:b/>
                <w:bCs/>
                <w:sz w:val="17"/>
                <w:szCs w:val="17"/>
              </w:rPr>
            </w:pPr>
            <w:r>
              <w:rPr>
                <w:b/>
                <w:bCs/>
                <w:sz w:val="17"/>
                <w:szCs w:val="17"/>
              </w:rPr>
              <w:t>Краткосрочные обязательства</w:t>
            </w:r>
          </w:p>
        </w:tc>
        <w:tc>
          <w:tcPr>
            <w:tcW w:w="851" w:type="dxa"/>
            <w:vAlign w:val="bottom"/>
          </w:tcPr>
          <w:p w:rsidR="00FD06F3" w:rsidRDefault="00FD06F3">
            <w:pPr>
              <w:pStyle w:val="Tabletext"/>
              <w:widowControl w:val="0"/>
              <w:ind w:left="-108" w:right="-108"/>
              <w:jc w:val="center"/>
              <w:rPr>
                <w:sz w:val="17"/>
                <w:szCs w:val="17"/>
              </w:rPr>
            </w:pPr>
          </w:p>
        </w:tc>
        <w:tc>
          <w:tcPr>
            <w:tcW w:w="1701" w:type="dxa"/>
            <w:vAlign w:val="bottom"/>
          </w:tcPr>
          <w:p w:rsidR="00FD06F3" w:rsidRDefault="00FD06F3">
            <w:pPr>
              <w:widowControl w:val="0"/>
              <w:tabs>
                <w:tab w:val="decimal" w:pos="1247"/>
              </w:tabs>
              <w:ind w:right="175"/>
              <w:jc w:val="left"/>
              <w:rPr>
                <w:sz w:val="17"/>
                <w:szCs w:val="17"/>
              </w:rPr>
            </w:pPr>
          </w:p>
        </w:tc>
        <w:tc>
          <w:tcPr>
            <w:tcW w:w="1701" w:type="dxa"/>
            <w:vAlign w:val="bottom"/>
          </w:tcPr>
          <w:p w:rsidR="00FD06F3" w:rsidRDefault="00FD06F3">
            <w:pPr>
              <w:widowControl w:val="0"/>
              <w:tabs>
                <w:tab w:val="decimal" w:pos="1247"/>
              </w:tabs>
              <w:ind w:right="175"/>
              <w:jc w:val="left"/>
              <w:rPr>
                <w:sz w:val="17"/>
                <w:szCs w:val="17"/>
              </w:rPr>
            </w:pP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Торговая и прочая кредиторская задолженность</w:t>
            </w:r>
          </w:p>
        </w:tc>
        <w:tc>
          <w:tcPr>
            <w:tcW w:w="851" w:type="dxa"/>
            <w:vAlign w:val="bottom"/>
          </w:tcPr>
          <w:p w:rsidR="00FD06F3" w:rsidRDefault="0054425B">
            <w:pPr>
              <w:pStyle w:val="Tabletext"/>
              <w:widowControl w:val="0"/>
              <w:ind w:left="-108" w:right="-108"/>
              <w:jc w:val="center"/>
              <w:rPr>
                <w:sz w:val="17"/>
                <w:szCs w:val="17"/>
              </w:rPr>
            </w:pPr>
            <w:r>
              <w:rPr>
                <w:sz w:val="17"/>
                <w:szCs w:val="17"/>
              </w:rPr>
              <w:t>13</w:t>
            </w:r>
          </w:p>
        </w:tc>
        <w:tc>
          <w:tcPr>
            <w:tcW w:w="1701" w:type="dxa"/>
            <w:vAlign w:val="bottom"/>
          </w:tcPr>
          <w:p w:rsidR="00FD06F3" w:rsidRDefault="0054425B">
            <w:pPr>
              <w:widowControl w:val="0"/>
              <w:tabs>
                <w:tab w:val="decimal" w:pos="1247"/>
              </w:tabs>
              <w:ind w:right="175"/>
              <w:jc w:val="left"/>
              <w:rPr>
                <w:sz w:val="17"/>
                <w:szCs w:val="17"/>
              </w:rPr>
            </w:pPr>
            <w:r>
              <w:rPr>
                <w:sz w:val="17"/>
                <w:szCs w:val="17"/>
              </w:rPr>
              <w:t>2 591 569</w:t>
            </w:r>
          </w:p>
        </w:tc>
        <w:tc>
          <w:tcPr>
            <w:tcW w:w="1701" w:type="dxa"/>
            <w:vAlign w:val="bottom"/>
          </w:tcPr>
          <w:p w:rsidR="00FD06F3" w:rsidRDefault="0054425B">
            <w:pPr>
              <w:widowControl w:val="0"/>
              <w:tabs>
                <w:tab w:val="decimal" w:pos="1247"/>
              </w:tabs>
              <w:ind w:right="175"/>
              <w:jc w:val="left"/>
              <w:rPr>
                <w:sz w:val="17"/>
                <w:szCs w:val="17"/>
              </w:rPr>
            </w:pPr>
            <w:r>
              <w:rPr>
                <w:sz w:val="17"/>
                <w:szCs w:val="17"/>
              </w:rPr>
              <w:t>3 464 203</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Банковские кредиты</w:t>
            </w:r>
          </w:p>
        </w:tc>
        <w:tc>
          <w:tcPr>
            <w:tcW w:w="851" w:type="dxa"/>
            <w:vAlign w:val="bottom"/>
          </w:tcPr>
          <w:p w:rsidR="00FD06F3" w:rsidRDefault="0054425B">
            <w:pPr>
              <w:pStyle w:val="Tabletext"/>
              <w:widowControl w:val="0"/>
              <w:ind w:left="-108" w:right="-108"/>
              <w:jc w:val="center"/>
              <w:rPr>
                <w:sz w:val="17"/>
                <w:szCs w:val="17"/>
              </w:rPr>
            </w:pPr>
            <w:r>
              <w:rPr>
                <w:sz w:val="17"/>
                <w:szCs w:val="17"/>
              </w:rPr>
              <w:t>11</w:t>
            </w:r>
          </w:p>
        </w:tc>
        <w:tc>
          <w:tcPr>
            <w:tcW w:w="1701" w:type="dxa"/>
            <w:vAlign w:val="bottom"/>
          </w:tcPr>
          <w:p w:rsidR="00FD06F3" w:rsidRDefault="0054425B">
            <w:pPr>
              <w:widowControl w:val="0"/>
              <w:tabs>
                <w:tab w:val="decimal" w:pos="1247"/>
              </w:tabs>
              <w:ind w:right="175"/>
              <w:jc w:val="left"/>
              <w:rPr>
                <w:sz w:val="17"/>
                <w:szCs w:val="17"/>
              </w:rPr>
            </w:pPr>
            <w:r>
              <w:rPr>
                <w:sz w:val="17"/>
                <w:szCs w:val="17"/>
              </w:rPr>
              <w:t>33 642</w:t>
            </w:r>
          </w:p>
        </w:tc>
        <w:tc>
          <w:tcPr>
            <w:tcW w:w="1701" w:type="dxa"/>
            <w:vAlign w:val="bottom"/>
          </w:tcPr>
          <w:p w:rsidR="00FD06F3" w:rsidRDefault="0054425B">
            <w:pPr>
              <w:widowControl w:val="0"/>
              <w:tabs>
                <w:tab w:val="decimal" w:pos="1247"/>
              </w:tabs>
              <w:ind w:right="175"/>
              <w:jc w:val="left"/>
              <w:rPr>
                <w:sz w:val="17"/>
                <w:szCs w:val="17"/>
              </w:rPr>
            </w:pPr>
            <w:r>
              <w:rPr>
                <w:sz w:val="17"/>
                <w:szCs w:val="17"/>
              </w:rPr>
              <w:t>–</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Займы, полученные от связанных сторон</w:t>
            </w:r>
          </w:p>
        </w:tc>
        <w:tc>
          <w:tcPr>
            <w:tcW w:w="851" w:type="dxa"/>
            <w:vAlign w:val="bottom"/>
          </w:tcPr>
          <w:p w:rsidR="00FD06F3" w:rsidRDefault="0054425B">
            <w:pPr>
              <w:pStyle w:val="Tabletext"/>
              <w:widowControl w:val="0"/>
              <w:ind w:left="-108" w:right="-108"/>
              <w:jc w:val="center"/>
              <w:rPr>
                <w:sz w:val="17"/>
                <w:szCs w:val="17"/>
              </w:rPr>
            </w:pPr>
            <w:r>
              <w:rPr>
                <w:sz w:val="17"/>
                <w:szCs w:val="17"/>
              </w:rPr>
              <w:t>11, 18.1</w:t>
            </w:r>
          </w:p>
        </w:tc>
        <w:tc>
          <w:tcPr>
            <w:tcW w:w="1701" w:type="dxa"/>
            <w:vAlign w:val="bottom"/>
          </w:tcPr>
          <w:p w:rsidR="00FD06F3" w:rsidRDefault="0054425B">
            <w:pPr>
              <w:widowControl w:val="0"/>
              <w:tabs>
                <w:tab w:val="decimal" w:pos="1247"/>
              </w:tabs>
              <w:ind w:right="175"/>
              <w:jc w:val="left"/>
              <w:rPr>
                <w:sz w:val="17"/>
                <w:szCs w:val="17"/>
              </w:rPr>
            </w:pPr>
            <w:r>
              <w:rPr>
                <w:sz w:val="17"/>
                <w:szCs w:val="17"/>
              </w:rPr>
              <w:t>77 246</w:t>
            </w:r>
          </w:p>
        </w:tc>
        <w:tc>
          <w:tcPr>
            <w:tcW w:w="1701" w:type="dxa"/>
            <w:vAlign w:val="bottom"/>
          </w:tcPr>
          <w:p w:rsidR="00FD06F3" w:rsidRDefault="0054425B">
            <w:pPr>
              <w:widowControl w:val="0"/>
              <w:tabs>
                <w:tab w:val="decimal" w:pos="1247"/>
              </w:tabs>
              <w:ind w:right="175"/>
              <w:jc w:val="left"/>
              <w:rPr>
                <w:sz w:val="17"/>
                <w:szCs w:val="17"/>
              </w:rPr>
            </w:pPr>
            <w:r>
              <w:rPr>
                <w:sz w:val="17"/>
                <w:szCs w:val="17"/>
              </w:rPr>
              <w:t>46 035</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Задолженность по налогу на прибыль</w:t>
            </w:r>
          </w:p>
        </w:tc>
        <w:tc>
          <w:tcPr>
            <w:tcW w:w="851" w:type="dxa"/>
            <w:vAlign w:val="bottom"/>
          </w:tcPr>
          <w:p w:rsidR="00FD06F3" w:rsidRDefault="00FD06F3">
            <w:pPr>
              <w:pStyle w:val="Tabletext"/>
              <w:widowControl w:val="0"/>
              <w:ind w:left="-108" w:right="-108"/>
              <w:jc w:val="center"/>
              <w:rPr>
                <w:sz w:val="17"/>
                <w:szCs w:val="17"/>
              </w:rPr>
            </w:pPr>
          </w:p>
        </w:tc>
        <w:tc>
          <w:tcPr>
            <w:tcW w:w="1701" w:type="dxa"/>
            <w:vAlign w:val="bottom"/>
          </w:tcPr>
          <w:p w:rsidR="00FD06F3" w:rsidRDefault="0054425B">
            <w:pPr>
              <w:widowControl w:val="0"/>
              <w:tabs>
                <w:tab w:val="decimal" w:pos="1247"/>
              </w:tabs>
              <w:ind w:right="175"/>
              <w:jc w:val="left"/>
              <w:rPr>
                <w:sz w:val="17"/>
                <w:szCs w:val="17"/>
              </w:rPr>
            </w:pPr>
            <w:r>
              <w:rPr>
                <w:sz w:val="17"/>
                <w:szCs w:val="17"/>
              </w:rPr>
              <w:t>7 495</w:t>
            </w:r>
          </w:p>
        </w:tc>
        <w:tc>
          <w:tcPr>
            <w:tcW w:w="1701" w:type="dxa"/>
            <w:vAlign w:val="bottom"/>
          </w:tcPr>
          <w:p w:rsidR="00FD06F3" w:rsidRDefault="0054425B">
            <w:pPr>
              <w:widowControl w:val="0"/>
              <w:tabs>
                <w:tab w:val="decimal" w:pos="1247"/>
              </w:tabs>
              <w:ind w:right="175"/>
              <w:jc w:val="left"/>
              <w:rPr>
                <w:sz w:val="17"/>
                <w:szCs w:val="17"/>
              </w:rPr>
            </w:pPr>
            <w:r>
              <w:rPr>
                <w:sz w:val="17"/>
                <w:szCs w:val="17"/>
              </w:rPr>
              <w:t>–</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Задолженность по прочим налогам</w:t>
            </w:r>
          </w:p>
        </w:tc>
        <w:tc>
          <w:tcPr>
            <w:tcW w:w="851" w:type="dxa"/>
            <w:vAlign w:val="bottom"/>
          </w:tcPr>
          <w:p w:rsidR="00FD06F3" w:rsidRDefault="00FD06F3">
            <w:pPr>
              <w:pStyle w:val="Tabletext"/>
              <w:widowControl w:val="0"/>
              <w:ind w:left="-108" w:right="-108"/>
              <w:jc w:val="center"/>
              <w:rPr>
                <w:sz w:val="17"/>
                <w:szCs w:val="17"/>
              </w:rPr>
            </w:pPr>
          </w:p>
        </w:tc>
        <w:tc>
          <w:tcPr>
            <w:tcW w:w="1701" w:type="dxa"/>
            <w:vAlign w:val="bottom"/>
          </w:tcPr>
          <w:p w:rsidR="00FD06F3" w:rsidRDefault="0054425B">
            <w:pPr>
              <w:widowControl w:val="0"/>
              <w:tabs>
                <w:tab w:val="decimal" w:pos="1247"/>
              </w:tabs>
              <w:ind w:right="175"/>
              <w:jc w:val="left"/>
              <w:rPr>
                <w:sz w:val="17"/>
                <w:szCs w:val="17"/>
              </w:rPr>
            </w:pPr>
            <w:r>
              <w:rPr>
                <w:sz w:val="17"/>
                <w:szCs w:val="17"/>
              </w:rPr>
              <w:t>468 609</w:t>
            </w:r>
          </w:p>
        </w:tc>
        <w:tc>
          <w:tcPr>
            <w:tcW w:w="1701" w:type="dxa"/>
            <w:vAlign w:val="bottom"/>
          </w:tcPr>
          <w:p w:rsidR="00FD06F3" w:rsidRDefault="0054425B">
            <w:pPr>
              <w:widowControl w:val="0"/>
              <w:tabs>
                <w:tab w:val="decimal" w:pos="1247"/>
              </w:tabs>
              <w:ind w:right="175"/>
              <w:jc w:val="left"/>
              <w:rPr>
                <w:sz w:val="17"/>
                <w:szCs w:val="17"/>
              </w:rPr>
            </w:pPr>
            <w:r>
              <w:rPr>
                <w:sz w:val="17"/>
                <w:szCs w:val="17"/>
              </w:rPr>
              <w:t>359 674</w:t>
            </w:r>
          </w:p>
        </w:tc>
      </w:tr>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t>Обязательства по финансовым гарантиям</w:t>
            </w:r>
          </w:p>
        </w:tc>
        <w:tc>
          <w:tcPr>
            <w:tcW w:w="851" w:type="dxa"/>
            <w:vAlign w:val="bottom"/>
          </w:tcPr>
          <w:p w:rsidR="00FD06F3" w:rsidRDefault="0054425B">
            <w:pPr>
              <w:pStyle w:val="Tabletext"/>
              <w:widowControl w:val="0"/>
              <w:ind w:left="-108" w:right="-108"/>
              <w:jc w:val="center"/>
              <w:rPr>
                <w:sz w:val="17"/>
                <w:szCs w:val="17"/>
              </w:rPr>
            </w:pPr>
            <w:r>
              <w:rPr>
                <w:sz w:val="17"/>
                <w:szCs w:val="17"/>
              </w:rPr>
              <w:t>18.8</w:t>
            </w:r>
          </w:p>
        </w:tc>
        <w:tc>
          <w:tcPr>
            <w:tcW w:w="1701" w:type="dxa"/>
            <w:vAlign w:val="bottom"/>
          </w:tcPr>
          <w:p w:rsidR="00FD06F3" w:rsidRDefault="0054425B">
            <w:pPr>
              <w:widowControl w:val="0"/>
              <w:tabs>
                <w:tab w:val="decimal" w:pos="1247"/>
              </w:tabs>
              <w:ind w:right="175"/>
              <w:jc w:val="left"/>
              <w:rPr>
                <w:sz w:val="17"/>
                <w:szCs w:val="17"/>
              </w:rPr>
            </w:pPr>
            <w:r>
              <w:rPr>
                <w:sz w:val="17"/>
                <w:szCs w:val="17"/>
              </w:rPr>
              <w:t>768</w:t>
            </w:r>
          </w:p>
        </w:tc>
        <w:tc>
          <w:tcPr>
            <w:tcW w:w="1701" w:type="dxa"/>
            <w:vAlign w:val="bottom"/>
          </w:tcPr>
          <w:p w:rsidR="00FD06F3" w:rsidRDefault="0054425B">
            <w:pPr>
              <w:widowControl w:val="0"/>
              <w:tabs>
                <w:tab w:val="decimal" w:pos="1247"/>
              </w:tabs>
              <w:ind w:right="175"/>
              <w:jc w:val="left"/>
              <w:rPr>
                <w:sz w:val="17"/>
                <w:szCs w:val="17"/>
              </w:rPr>
            </w:pPr>
            <w:r>
              <w:rPr>
                <w:sz w:val="17"/>
                <w:szCs w:val="17"/>
              </w:rPr>
              <w:t>769</w:t>
            </w:r>
          </w:p>
        </w:tc>
      </w:tr>
      <w:tr w:rsidR="00FD06F3">
        <w:trPr>
          <w:trHeight w:val="23"/>
          <w:jc w:val="center"/>
        </w:trPr>
        <w:tc>
          <w:tcPr>
            <w:tcW w:w="5386" w:type="dxa"/>
            <w:vAlign w:val="bottom"/>
          </w:tcPr>
          <w:p w:rsidR="00FD06F3" w:rsidRDefault="0054425B">
            <w:pPr>
              <w:pStyle w:val="BoldTabletext"/>
              <w:widowControl w:val="0"/>
              <w:ind w:left="5" w:right="-108" w:hanging="113"/>
              <w:jc w:val="left"/>
              <w:rPr>
                <w:sz w:val="17"/>
                <w:szCs w:val="17"/>
              </w:rPr>
            </w:pPr>
            <w:r>
              <w:rPr>
                <w:sz w:val="17"/>
                <w:szCs w:val="17"/>
              </w:rPr>
              <w:t>Итого краткосрочные обязательства</w:t>
            </w:r>
          </w:p>
        </w:tc>
        <w:tc>
          <w:tcPr>
            <w:tcW w:w="851" w:type="dxa"/>
            <w:vAlign w:val="bottom"/>
          </w:tcPr>
          <w:p w:rsidR="00FD06F3" w:rsidRDefault="00FD06F3">
            <w:pPr>
              <w:pStyle w:val="Tabletext"/>
              <w:widowControl w:val="0"/>
              <w:ind w:left="-108" w:right="-108"/>
              <w:jc w:val="center"/>
              <w:rPr>
                <w:sz w:val="17"/>
                <w:szCs w:val="17"/>
              </w:rPr>
            </w:pPr>
          </w:p>
        </w:tc>
        <w:tc>
          <w:tcPr>
            <w:tcW w:w="1701" w:type="dxa"/>
            <w:tcBorders>
              <w:top w:val="single" w:sz="6" w:space="0" w:color="auto"/>
              <w:bottom w:val="single" w:sz="6" w:space="0" w:color="auto"/>
            </w:tcBorders>
            <w:vAlign w:val="bottom"/>
          </w:tcPr>
          <w:p w:rsidR="00FD06F3" w:rsidRDefault="0054425B">
            <w:pPr>
              <w:widowControl w:val="0"/>
              <w:tabs>
                <w:tab w:val="decimal" w:pos="1247"/>
              </w:tabs>
              <w:ind w:right="175"/>
              <w:jc w:val="left"/>
              <w:rPr>
                <w:b/>
                <w:sz w:val="17"/>
                <w:szCs w:val="17"/>
              </w:rPr>
            </w:pPr>
            <w:r>
              <w:rPr>
                <w:b/>
                <w:sz w:val="17"/>
                <w:szCs w:val="17"/>
              </w:rPr>
              <w:t>3 179 329</w:t>
            </w:r>
          </w:p>
        </w:tc>
        <w:tc>
          <w:tcPr>
            <w:tcW w:w="1701" w:type="dxa"/>
            <w:tcBorders>
              <w:top w:val="single" w:sz="6" w:space="0" w:color="auto"/>
              <w:bottom w:val="single" w:sz="6" w:space="0" w:color="auto"/>
            </w:tcBorders>
            <w:vAlign w:val="bottom"/>
          </w:tcPr>
          <w:p w:rsidR="00FD06F3" w:rsidRDefault="0054425B">
            <w:pPr>
              <w:tabs>
                <w:tab w:val="decimal" w:pos="1247"/>
              </w:tabs>
              <w:ind w:right="175"/>
              <w:jc w:val="left"/>
              <w:rPr>
                <w:b/>
                <w:sz w:val="17"/>
                <w:szCs w:val="17"/>
              </w:rPr>
            </w:pPr>
            <w:r>
              <w:rPr>
                <w:b/>
                <w:sz w:val="17"/>
                <w:szCs w:val="17"/>
              </w:rPr>
              <w:t>3 870 681</w:t>
            </w:r>
          </w:p>
        </w:tc>
      </w:tr>
      <w:tr w:rsidR="00FD06F3">
        <w:trPr>
          <w:trHeight w:val="340"/>
          <w:jc w:val="center"/>
        </w:trPr>
        <w:tc>
          <w:tcPr>
            <w:tcW w:w="5386" w:type="dxa"/>
            <w:tcBorders>
              <w:bottom w:val="nil"/>
            </w:tcBorders>
            <w:vAlign w:val="bottom"/>
          </w:tcPr>
          <w:p w:rsidR="00FD06F3" w:rsidRDefault="0054425B">
            <w:pPr>
              <w:pStyle w:val="BoldTabletext"/>
              <w:widowControl w:val="0"/>
              <w:ind w:left="5" w:right="-108" w:hanging="113"/>
              <w:jc w:val="left"/>
              <w:rPr>
                <w:sz w:val="17"/>
                <w:szCs w:val="17"/>
              </w:rPr>
            </w:pPr>
            <w:r>
              <w:rPr>
                <w:sz w:val="17"/>
                <w:szCs w:val="17"/>
              </w:rPr>
              <w:t>Итого капитал и обязательства</w:t>
            </w:r>
          </w:p>
        </w:tc>
        <w:tc>
          <w:tcPr>
            <w:tcW w:w="851" w:type="dxa"/>
            <w:tcBorders>
              <w:bottom w:val="nil"/>
            </w:tcBorders>
            <w:vAlign w:val="bottom"/>
          </w:tcPr>
          <w:p w:rsidR="00FD06F3" w:rsidRDefault="00FD06F3">
            <w:pPr>
              <w:pStyle w:val="Tabletext"/>
              <w:widowControl w:val="0"/>
              <w:ind w:left="-108" w:right="-108"/>
              <w:jc w:val="center"/>
              <w:rPr>
                <w:sz w:val="17"/>
                <w:szCs w:val="17"/>
              </w:rPr>
            </w:pPr>
          </w:p>
        </w:tc>
        <w:tc>
          <w:tcPr>
            <w:tcW w:w="1701" w:type="dxa"/>
            <w:tcBorders>
              <w:top w:val="single" w:sz="6" w:space="0" w:color="auto"/>
              <w:bottom w:val="single" w:sz="12" w:space="0" w:color="auto"/>
            </w:tcBorders>
            <w:vAlign w:val="bottom"/>
          </w:tcPr>
          <w:p w:rsidR="00FD06F3" w:rsidRDefault="0054425B">
            <w:pPr>
              <w:widowControl w:val="0"/>
              <w:tabs>
                <w:tab w:val="decimal" w:pos="1247"/>
              </w:tabs>
              <w:ind w:right="175"/>
              <w:jc w:val="left"/>
              <w:rPr>
                <w:b/>
                <w:sz w:val="17"/>
                <w:szCs w:val="17"/>
              </w:rPr>
            </w:pPr>
            <w:r>
              <w:rPr>
                <w:b/>
                <w:sz w:val="17"/>
                <w:szCs w:val="17"/>
              </w:rPr>
              <w:t>12 837 806</w:t>
            </w:r>
          </w:p>
        </w:tc>
        <w:tc>
          <w:tcPr>
            <w:tcW w:w="1701" w:type="dxa"/>
            <w:tcBorders>
              <w:top w:val="single" w:sz="6" w:space="0" w:color="auto"/>
              <w:bottom w:val="single" w:sz="12" w:space="0" w:color="auto"/>
            </w:tcBorders>
            <w:vAlign w:val="bottom"/>
          </w:tcPr>
          <w:p w:rsidR="00FD06F3" w:rsidRDefault="0054425B">
            <w:pPr>
              <w:tabs>
                <w:tab w:val="decimal" w:pos="1247"/>
              </w:tabs>
              <w:ind w:right="175"/>
              <w:jc w:val="left"/>
              <w:rPr>
                <w:b/>
                <w:sz w:val="17"/>
                <w:szCs w:val="17"/>
              </w:rPr>
            </w:pPr>
            <w:r>
              <w:rPr>
                <w:b/>
                <w:sz w:val="17"/>
                <w:szCs w:val="17"/>
              </w:rPr>
              <w:t>13 427 117</w:t>
            </w:r>
          </w:p>
        </w:tc>
      </w:tr>
    </w:tbl>
    <w:p w:rsidR="00FD06F3" w:rsidRDefault="00FD06F3">
      <w:pPr>
        <w:widowControl w:val="0"/>
        <w:rPr>
          <w:sz w:val="16"/>
        </w:rPr>
      </w:pPr>
    </w:p>
    <w:p w:rsidR="00FD06F3" w:rsidRDefault="00FD06F3">
      <w:pPr>
        <w:widowControl w:val="0"/>
        <w:rPr>
          <w:sz w:val="16"/>
        </w:rPr>
      </w:pPr>
    </w:p>
    <w:p w:rsidR="00FD06F3" w:rsidRDefault="00FD06F3">
      <w:pPr>
        <w:widowControl w:val="0"/>
        <w:rPr>
          <w:sz w:val="16"/>
        </w:rPr>
      </w:pPr>
    </w:p>
    <w:p w:rsidR="00FD06F3" w:rsidRDefault="00FD06F3">
      <w:pPr>
        <w:widowControl w:val="0"/>
        <w:rPr>
          <w:sz w:val="16"/>
        </w:rPr>
      </w:pPr>
    </w:p>
    <w:p w:rsidR="00FD06F3" w:rsidRDefault="0054425B">
      <w:pPr>
        <w:pStyle w:val="Text33"/>
        <w:widowControl w:val="0"/>
        <w:tabs>
          <w:tab w:val="left" w:pos="7938"/>
        </w:tabs>
        <w:spacing w:after="0"/>
      </w:pPr>
      <w:r>
        <w:t>Исполнительный директор</w:t>
      </w:r>
      <w:r>
        <w:tab/>
        <w:t>М.И. Зайченко</w:t>
      </w:r>
    </w:p>
    <w:p w:rsidR="00FD06F3" w:rsidRDefault="00FD06F3">
      <w:pPr>
        <w:pStyle w:val="Text33"/>
        <w:widowControl w:val="0"/>
        <w:spacing w:after="0"/>
        <w:rPr>
          <w:sz w:val="16"/>
        </w:rPr>
      </w:pPr>
    </w:p>
    <w:p w:rsidR="00FD06F3" w:rsidRDefault="00FD06F3">
      <w:pPr>
        <w:rPr>
          <w:sz w:val="16"/>
        </w:rPr>
      </w:pPr>
    </w:p>
    <w:p w:rsidR="00FD06F3" w:rsidRDefault="00FD06F3">
      <w:pPr>
        <w:rPr>
          <w:sz w:val="16"/>
        </w:rPr>
      </w:pPr>
    </w:p>
    <w:p w:rsidR="00FD06F3" w:rsidRDefault="00FD06F3">
      <w:pPr>
        <w:rPr>
          <w:sz w:val="16"/>
        </w:rPr>
      </w:pPr>
    </w:p>
    <w:p w:rsidR="00FD06F3" w:rsidRDefault="00FD06F3">
      <w:pPr>
        <w:rPr>
          <w:sz w:val="16"/>
        </w:rPr>
      </w:pPr>
    </w:p>
    <w:p w:rsidR="00FD06F3" w:rsidRDefault="0054425B">
      <w:pPr>
        <w:pStyle w:val="Text33"/>
        <w:widowControl w:val="0"/>
        <w:tabs>
          <w:tab w:val="left" w:pos="7938"/>
        </w:tabs>
        <w:spacing w:after="0"/>
      </w:pPr>
      <w:r>
        <w:t>Главный бухгалтер</w:t>
      </w:r>
      <w:r>
        <w:tab/>
        <w:t>С.В. Мельниченко</w:t>
      </w:r>
    </w:p>
    <w:p w:rsidR="00FD06F3" w:rsidRDefault="0054425B">
      <w:pPr>
        <w:widowControl w:val="0"/>
        <w:tabs>
          <w:tab w:val="left" w:pos="7938"/>
        </w:tabs>
        <w:spacing w:before="120"/>
      </w:pPr>
      <w:r>
        <w:tab/>
        <w:t>27 апреля 2018 г.</w:t>
      </w:r>
    </w:p>
    <w:p w:rsidR="00FD06F3" w:rsidRDefault="00FD06F3">
      <w:pPr>
        <w:pStyle w:val="level10"/>
        <w:spacing w:before="120"/>
        <w:rPr>
          <w:rFonts w:ascii="Times New Roman" w:hAnsi="Times New Roman" w:cs="Times New Roman"/>
          <w:sz w:val="20"/>
          <w:szCs w:val="20"/>
        </w:rPr>
        <w:sectPr w:rsidR="00FD06F3">
          <w:headerReference w:type="default" r:id="rId19"/>
          <w:footerReference w:type="default" r:id="rId20"/>
          <w:headerReference w:type="first" r:id="rId21"/>
          <w:footerReference w:type="first" r:id="rId22"/>
          <w:pgSz w:w="11907" w:h="16840" w:code="9"/>
          <w:pgMar w:top="1134" w:right="851" w:bottom="851" w:left="1418" w:header="720" w:footer="720" w:gutter="0"/>
          <w:cols w:space="720"/>
          <w:docGrid w:linePitch="272"/>
        </w:sectPr>
      </w:pPr>
    </w:p>
    <w:p w:rsidR="00FD06F3" w:rsidRDefault="0054425B">
      <w:pPr>
        <w:pStyle w:val="level10"/>
        <w:jc w:val="left"/>
        <w:rPr>
          <w:rFonts w:ascii="Times New Roman" w:hAnsi="Times New Roman" w:cs="Times New Roman"/>
          <w:b/>
          <w:bCs/>
          <w:sz w:val="24"/>
          <w:szCs w:val="24"/>
        </w:rPr>
      </w:pPr>
      <w:bookmarkStart w:id="6" w:name="_Toc325469644"/>
      <w:bookmarkStart w:id="7" w:name="_Toc354762874"/>
      <w:bookmarkStart w:id="8" w:name="_Toc356225079"/>
      <w:bookmarkStart w:id="9" w:name="_Toc387743804"/>
      <w:bookmarkStart w:id="10" w:name="_Toc387743922"/>
      <w:r>
        <w:rPr>
          <w:rFonts w:ascii="Times New Roman" w:hAnsi="Times New Roman" w:cs="Times New Roman"/>
          <w:b/>
          <w:bCs/>
          <w:sz w:val="24"/>
          <w:szCs w:val="24"/>
        </w:rPr>
        <w:lastRenderedPageBreak/>
        <w:t>Консолидированный отчет о совокупном доходе</w:t>
      </w:r>
      <w:bookmarkEnd w:id="6"/>
      <w:bookmarkEnd w:id="7"/>
      <w:bookmarkEnd w:id="8"/>
      <w:bookmarkEnd w:id="9"/>
      <w:bookmarkEnd w:id="10"/>
      <w:r>
        <w:rPr>
          <w:rFonts w:ascii="Times New Roman" w:hAnsi="Times New Roman" w:cs="Times New Roman"/>
          <w:b/>
          <w:bCs/>
          <w:sz w:val="24"/>
          <w:szCs w:val="24"/>
        </w:rPr>
        <w:t xml:space="preserve"> </w:t>
      </w:r>
    </w:p>
    <w:p w:rsidR="00FD06F3" w:rsidRDefault="00FD06F3">
      <w:pPr>
        <w:widowControl w:val="0"/>
      </w:pPr>
    </w:p>
    <w:p w:rsidR="00FD06F3" w:rsidRDefault="00FD06F3">
      <w:pPr>
        <w:widowControl w:val="0"/>
      </w:pPr>
    </w:p>
    <w:tbl>
      <w:tblPr>
        <w:tblW w:w="9639" w:type="dxa"/>
        <w:jc w:val="center"/>
        <w:tblLayout w:type="fixed"/>
        <w:tblLook w:val="0000" w:firstRow="0" w:lastRow="0" w:firstColumn="0" w:lastColumn="0" w:noHBand="0" w:noVBand="0"/>
      </w:tblPr>
      <w:tblGrid>
        <w:gridCol w:w="5386"/>
        <w:gridCol w:w="851"/>
        <w:gridCol w:w="1701"/>
        <w:gridCol w:w="1701"/>
      </w:tblGrid>
      <w:tr w:rsidR="00FD06F3">
        <w:trPr>
          <w:trHeight w:val="23"/>
          <w:jc w:val="center"/>
        </w:trPr>
        <w:tc>
          <w:tcPr>
            <w:tcW w:w="5386" w:type="dxa"/>
            <w:vAlign w:val="bottom"/>
          </w:tcPr>
          <w:p w:rsidR="00FD06F3" w:rsidRDefault="00FD06F3">
            <w:pPr>
              <w:widowControl w:val="0"/>
              <w:ind w:left="5" w:right="-108" w:hanging="113"/>
              <w:jc w:val="left"/>
              <w:rPr>
                <w:sz w:val="18"/>
                <w:szCs w:val="18"/>
              </w:rPr>
            </w:pPr>
          </w:p>
        </w:tc>
        <w:tc>
          <w:tcPr>
            <w:tcW w:w="851" w:type="dxa"/>
            <w:vAlign w:val="bottom"/>
          </w:tcPr>
          <w:p w:rsidR="00FD06F3" w:rsidRDefault="00FD06F3">
            <w:pPr>
              <w:pStyle w:val="Heading8"/>
              <w:keepNext w:val="0"/>
              <w:ind w:left="-108" w:right="-108"/>
              <w:rPr>
                <w:rFonts w:ascii="Times New Roman" w:hAnsi="Times New Roman"/>
                <w:b/>
                <w:bCs/>
                <w:i w:val="0"/>
                <w:iCs w:val="0"/>
                <w:sz w:val="18"/>
                <w:szCs w:val="18"/>
              </w:rPr>
            </w:pPr>
          </w:p>
        </w:tc>
        <w:tc>
          <w:tcPr>
            <w:tcW w:w="3402" w:type="dxa"/>
            <w:gridSpan w:val="2"/>
            <w:tcBorders>
              <w:bottom w:val="single" w:sz="6" w:space="0" w:color="auto"/>
            </w:tcBorders>
            <w:vAlign w:val="bottom"/>
          </w:tcPr>
          <w:p w:rsidR="00FD06F3" w:rsidRDefault="0054425B">
            <w:pPr>
              <w:widowControl w:val="0"/>
              <w:ind w:left="-108" w:right="-108"/>
              <w:jc w:val="center"/>
              <w:rPr>
                <w:b/>
                <w:bCs/>
                <w:sz w:val="18"/>
                <w:szCs w:val="18"/>
              </w:rPr>
            </w:pPr>
            <w:r>
              <w:rPr>
                <w:b/>
                <w:bCs/>
                <w:sz w:val="18"/>
                <w:szCs w:val="18"/>
              </w:rPr>
              <w:t xml:space="preserve">За год, закончившийся </w:t>
            </w:r>
            <w:r>
              <w:rPr>
                <w:b/>
                <w:bCs/>
                <w:sz w:val="18"/>
                <w:szCs w:val="18"/>
              </w:rPr>
              <w:t>31 декабря</w:t>
            </w:r>
          </w:p>
        </w:tc>
      </w:tr>
      <w:tr w:rsidR="00FD06F3">
        <w:trPr>
          <w:trHeight w:val="23"/>
          <w:jc w:val="center"/>
        </w:trPr>
        <w:tc>
          <w:tcPr>
            <w:tcW w:w="5386" w:type="dxa"/>
            <w:vAlign w:val="bottom"/>
          </w:tcPr>
          <w:p w:rsidR="00FD06F3" w:rsidRDefault="00FD06F3">
            <w:pPr>
              <w:widowControl w:val="0"/>
              <w:ind w:left="5" w:right="-108" w:hanging="113"/>
              <w:jc w:val="left"/>
              <w:rPr>
                <w:sz w:val="18"/>
                <w:szCs w:val="18"/>
              </w:rPr>
            </w:pPr>
          </w:p>
        </w:tc>
        <w:tc>
          <w:tcPr>
            <w:tcW w:w="851" w:type="dxa"/>
            <w:tcBorders>
              <w:bottom w:val="single" w:sz="6" w:space="0" w:color="auto"/>
            </w:tcBorders>
            <w:vAlign w:val="bottom"/>
          </w:tcPr>
          <w:p w:rsidR="00FD06F3" w:rsidRDefault="0054425B">
            <w:pPr>
              <w:pStyle w:val="Heading8"/>
              <w:keepNext w:val="0"/>
              <w:ind w:left="-108" w:right="-108"/>
              <w:rPr>
                <w:rFonts w:ascii="Times New Roman" w:hAnsi="Times New Roman"/>
                <w:b/>
                <w:bCs/>
                <w:i w:val="0"/>
                <w:iCs w:val="0"/>
                <w:sz w:val="18"/>
                <w:szCs w:val="18"/>
              </w:rPr>
            </w:pPr>
            <w:r>
              <w:rPr>
                <w:rFonts w:ascii="Times New Roman" w:hAnsi="Times New Roman"/>
                <w:b/>
                <w:bCs/>
                <w:i w:val="0"/>
                <w:iCs w:val="0"/>
                <w:sz w:val="18"/>
                <w:szCs w:val="18"/>
              </w:rPr>
              <w:t>Прим.</w:t>
            </w:r>
          </w:p>
        </w:tc>
        <w:tc>
          <w:tcPr>
            <w:tcW w:w="1701" w:type="dxa"/>
            <w:tcBorders>
              <w:top w:val="single" w:sz="6" w:space="0" w:color="auto"/>
              <w:bottom w:val="single" w:sz="6" w:space="0" w:color="auto"/>
            </w:tcBorders>
            <w:vAlign w:val="bottom"/>
          </w:tcPr>
          <w:p w:rsidR="00FD06F3" w:rsidRDefault="0054425B">
            <w:pPr>
              <w:widowControl w:val="0"/>
              <w:ind w:left="-108" w:right="-108"/>
              <w:jc w:val="center"/>
              <w:rPr>
                <w:b/>
                <w:bCs/>
                <w:sz w:val="18"/>
                <w:szCs w:val="18"/>
              </w:rPr>
            </w:pPr>
            <w:r>
              <w:rPr>
                <w:b/>
                <w:bCs/>
                <w:sz w:val="18"/>
                <w:szCs w:val="18"/>
              </w:rPr>
              <w:t>2017 г.</w:t>
            </w:r>
          </w:p>
        </w:tc>
        <w:tc>
          <w:tcPr>
            <w:tcW w:w="1701" w:type="dxa"/>
            <w:tcBorders>
              <w:top w:val="single" w:sz="6" w:space="0" w:color="auto"/>
              <w:bottom w:val="single" w:sz="6" w:space="0" w:color="auto"/>
            </w:tcBorders>
            <w:vAlign w:val="bottom"/>
          </w:tcPr>
          <w:p w:rsidR="00FD06F3" w:rsidRDefault="0054425B">
            <w:pPr>
              <w:widowControl w:val="0"/>
              <w:ind w:left="-108" w:right="-108"/>
              <w:jc w:val="center"/>
              <w:rPr>
                <w:b/>
                <w:bCs/>
                <w:sz w:val="18"/>
                <w:szCs w:val="18"/>
              </w:rPr>
            </w:pPr>
            <w:r>
              <w:rPr>
                <w:b/>
                <w:bCs/>
                <w:sz w:val="18"/>
                <w:szCs w:val="18"/>
              </w:rPr>
              <w:t>2016 г.</w:t>
            </w:r>
          </w:p>
        </w:tc>
      </w:tr>
      <w:tr w:rsidR="00FD06F3">
        <w:trPr>
          <w:trHeight w:val="340"/>
          <w:jc w:val="center"/>
        </w:trPr>
        <w:tc>
          <w:tcPr>
            <w:tcW w:w="5386" w:type="dxa"/>
            <w:vAlign w:val="bottom"/>
          </w:tcPr>
          <w:p w:rsidR="00FD06F3" w:rsidRDefault="0054425B">
            <w:pPr>
              <w:pStyle w:val="Tabletext"/>
              <w:widowControl w:val="0"/>
              <w:ind w:left="5" w:right="-108" w:hanging="113"/>
              <w:jc w:val="left"/>
            </w:pPr>
            <w:r>
              <w:t>Выручка от реализации</w:t>
            </w:r>
          </w:p>
        </w:tc>
        <w:tc>
          <w:tcPr>
            <w:tcW w:w="851" w:type="dxa"/>
            <w:tcBorders>
              <w:top w:val="single" w:sz="6" w:space="0" w:color="auto"/>
            </w:tcBorders>
            <w:vAlign w:val="bottom"/>
          </w:tcPr>
          <w:p w:rsidR="00FD06F3" w:rsidRDefault="0054425B">
            <w:pPr>
              <w:widowControl w:val="0"/>
              <w:ind w:left="-108" w:right="-108"/>
              <w:jc w:val="center"/>
              <w:rPr>
                <w:sz w:val="18"/>
                <w:szCs w:val="18"/>
              </w:rPr>
            </w:pPr>
            <w:r>
              <w:rPr>
                <w:sz w:val="18"/>
                <w:szCs w:val="18"/>
              </w:rPr>
              <w:t>18.2</w:t>
            </w:r>
          </w:p>
        </w:tc>
        <w:tc>
          <w:tcPr>
            <w:tcW w:w="1701" w:type="dxa"/>
            <w:tcBorders>
              <w:top w:val="single" w:sz="6" w:space="0" w:color="auto"/>
            </w:tcBorders>
            <w:vAlign w:val="bottom"/>
          </w:tcPr>
          <w:p w:rsidR="00FD06F3" w:rsidRDefault="0054425B">
            <w:pPr>
              <w:tabs>
                <w:tab w:val="decimal" w:pos="1247"/>
              </w:tabs>
              <w:ind w:right="145"/>
              <w:jc w:val="left"/>
              <w:rPr>
                <w:sz w:val="18"/>
                <w:szCs w:val="18"/>
              </w:rPr>
            </w:pPr>
            <w:r>
              <w:rPr>
                <w:sz w:val="18"/>
                <w:szCs w:val="18"/>
              </w:rPr>
              <w:t>14 148 987</w:t>
            </w:r>
          </w:p>
        </w:tc>
        <w:tc>
          <w:tcPr>
            <w:tcW w:w="1701" w:type="dxa"/>
            <w:tcBorders>
              <w:top w:val="single" w:sz="6" w:space="0" w:color="auto"/>
            </w:tcBorders>
            <w:vAlign w:val="bottom"/>
          </w:tcPr>
          <w:p w:rsidR="00FD06F3" w:rsidRDefault="0054425B">
            <w:pPr>
              <w:tabs>
                <w:tab w:val="decimal" w:pos="1247"/>
              </w:tabs>
              <w:ind w:right="145"/>
              <w:jc w:val="left"/>
              <w:rPr>
                <w:sz w:val="18"/>
                <w:szCs w:val="18"/>
              </w:rPr>
            </w:pPr>
            <w:r>
              <w:rPr>
                <w:sz w:val="18"/>
                <w:szCs w:val="18"/>
              </w:rPr>
              <w:t>14 465 462</w:t>
            </w:r>
          </w:p>
        </w:tc>
      </w:tr>
      <w:tr w:rsidR="00FD06F3">
        <w:trPr>
          <w:trHeight w:val="23"/>
          <w:jc w:val="center"/>
        </w:trPr>
        <w:tc>
          <w:tcPr>
            <w:tcW w:w="5386" w:type="dxa"/>
            <w:vAlign w:val="bottom"/>
          </w:tcPr>
          <w:p w:rsidR="00FD06F3" w:rsidRDefault="0054425B">
            <w:pPr>
              <w:pStyle w:val="Tabletext"/>
              <w:widowControl w:val="0"/>
              <w:ind w:left="5" w:right="-108" w:hanging="113"/>
              <w:jc w:val="left"/>
            </w:pPr>
            <w:r>
              <w:t>Себестоимость реализованных товаров</w:t>
            </w:r>
          </w:p>
        </w:tc>
        <w:tc>
          <w:tcPr>
            <w:tcW w:w="851" w:type="dxa"/>
            <w:vAlign w:val="bottom"/>
          </w:tcPr>
          <w:p w:rsidR="00FD06F3" w:rsidRDefault="0054425B">
            <w:pPr>
              <w:widowControl w:val="0"/>
              <w:ind w:left="-108" w:right="-108"/>
              <w:jc w:val="center"/>
              <w:rPr>
                <w:sz w:val="18"/>
                <w:szCs w:val="18"/>
              </w:rPr>
            </w:pPr>
            <w:r>
              <w:rPr>
                <w:sz w:val="18"/>
                <w:szCs w:val="18"/>
              </w:rPr>
              <w:t>15</w:t>
            </w:r>
          </w:p>
        </w:tc>
        <w:tc>
          <w:tcPr>
            <w:tcW w:w="1701" w:type="dxa"/>
            <w:tcBorders>
              <w:bottom w:val="single" w:sz="6" w:space="0" w:color="auto"/>
            </w:tcBorders>
            <w:vAlign w:val="bottom"/>
          </w:tcPr>
          <w:p w:rsidR="00FD06F3" w:rsidRDefault="0054425B">
            <w:pPr>
              <w:tabs>
                <w:tab w:val="decimal" w:pos="1247"/>
              </w:tabs>
              <w:ind w:right="145"/>
              <w:jc w:val="left"/>
              <w:rPr>
                <w:sz w:val="18"/>
                <w:szCs w:val="18"/>
              </w:rPr>
            </w:pPr>
            <w:r>
              <w:rPr>
                <w:sz w:val="18"/>
                <w:szCs w:val="18"/>
              </w:rPr>
              <w:t>(12 000 877)</w:t>
            </w:r>
          </w:p>
        </w:tc>
        <w:tc>
          <w:tcPr>
            <w:tcW w:w="1701" w:type="dxa"/>
            <w:tcBorders>
              <w:bottom w:val="single" w:sz="6" w:space="0" w:color="auto"/>
            </w:tcBorders>
            <w:vAlign w:val="bottom"/>
          </w:tcPr>
          <w:p w:rsidR="00FD06F3" w:rsidRDefault="0054425B">
            <w:pPr>
              <w:tabs>
                <w:tab w:val="decimal" w:pos="1247"/>
              </w:tabs>
              <w:ind w:right="145"/>
              <w:jc w:val="left"/>
              <w:rPr>
                <w:sz w:val="18"/>
                <w:szCs w:val="18"/>
              </w:rPr>
            </w:pPr>
            <w:r>
              <w:rPr>
                <w:sz w:val="18"/>
                <w:szCs w:val="18"/>
              </w:rPr>
              <w:t>(13 658 256)</w:t>
            </w:r>
          </w:p>
        </w:tc>
      </w:tr>
      <w:tr w:rsidR="00FD06F3">
        <w:trPr>
          <w:trHeight w:val="23"/>
          <w:jc w:val="center"/>
        </w:trPr>
        <w:tc>
          <w:tcPr>
            <w:tcW w:w="5386" w:type="dxa"/>
            <w:vAlign w:val="bottom"/>
          </w:tcPr>
          <w:p w:rsidR="00FD06F3" w:rsidRDefault="0054425B">
            <w:pPr>
              <w:widowControl w:val="0"/>
              <w:ind w:left="5" w:right="-108" w:hanging="113"/>
              <w:jc w:val="left"/>
              <w:rPr>
                <w:b/>
                <w:bCs/>
                <w:sz w:val="18"/>
                <w:szCs w:val="18"/>
              </w:rPr>
            </w:pPr>
            <w:r>
              <w:rPr>
                <w:b/>
                <w:bCs/>
                <w:sz w:val="18"/>
                <w:szCs w:val="18"/>
              </w:rPr>
              <w:t>Валовая прибыль</w:t>
            </w:r>
          </w:p>
        </w:tc>
        <w:tc>
          <w:tcPr>
            <w:tcW w:w="851" w:type="dxa"/>
            <w:vAlign w:val="bottom"/>
          </w:tcPr>
          <w:p w:rsidR="00FD06F3" w:rsidRDefault="00FD06F3">
            <w:pPr>
              <w:widowControl w:val="0"/>
              <w:ind w:left="-108" w:right="-108"/>
              <w:jc w:val="center"/>
              <w:rPr>
                <w:sz w:val="18"/>
                <w:szCs w:val="18"/>
              </w:rPr>
            </w:pPr>
          </w:p>
        </w:tc>
        <w:tc>
          <w:tcPr>
            <w:tcW w:w="1701" w:type="dxa"/>
            <w:tcBorders>
              <w:top w:val="single" w:sz="6" w:space="0" w:color="auto"/>
            </w:tcBorders>
            <w:vAlign w:val="bottom"/>
          </w:tcPr>
          <w:p w:rsidR="00FD06F3" w:rsidRDefault="0054425B">
            <w:pPr>
              <w:tabs>
                <w:tab w:val="decimal" w:pos="1247"/>
              </w:tabs>
              <w:ind w:right="145"/>
              <w:jc w:val="left"/>
              <w:rPr>
                <w:b/>
                <w:sz w:val="18"/>
                <w:szCs w:val="18"/>
              </w:rPr>
            </w:pPr>
            <w:r>
              <w:rPr>
                <w:b/>
                <w:sz w:val="18"/>
                <w:szCs w:val="18"/>
              </w:rPr>
              <w:t>2 148 110</w:t>
            </w:r>
          </w:p>
        </w:tc>
        <w:tc>
          <w:tcPr>
            <w:tcW w:w="1701" w:type="dxa"/>
            <w:tcBorders>
              <w:top w:val="single" w:sz="6" w:space="0" w:color="auto"/>
            </w:tcBorders>
            <w:vAlign w:val="bottom"/>
          </w:tcPr>
          <w:p w:rsidR="00FD06F3" w:rsidRDefault="0054425B">
            <w:pPr>
              <w:tabs>
                <w:tab w:val="decimal" w:pos="1247"/>
              </w:tabs>
              <w:ind w:right="145"/>
              <w:jc w:val="left"/>
              <w:rPr>
                <w:b/>
                <w:sz w:val="18"/>
                <w:szCs w:val="18"/>
              </w:rPr>
            </w:pPr>
            <w:r>
              <w:rPr>
                <w:b/>
                <w:sz w:val="18"/>
                <w:szCs w:val="18"/>
              </w:rPr>
              <w:t>807 206</w:t>
            </w:r>
          </w:p>
        </w:tc>
      </w:tr>
      <w:tr w:rsidR="00FD06F3">
        <w:trPr>
          <w:trHeight w:val="23"/>
          <w:jc w:val="center"/>
        </w:trPr>
        <w:tc>
          <w:tcPr>
            <w:tcW w:w="5386" w:type="dxa"/>
            <w:vAlign w:val="bottom"/>
          </w:tcPr>
          <w:p w:rsidR="00FD06F3" w:rsidRDefault="0054425B">
            <w:pPr>
              <w:widowControl w:val="0"/>
              <w:ind w:left="5" w:right="-108" w:hanging="113"/>
              <w:jc w:val="left"/>
              <w:rPr>
                <w:b/>
                <w:bCs/>
                <w:sz w:val="18"/>
                <w:szCs w:val="18"/>
              </w:rPr>
            </w:pPr>
            <w:r>
              <w:rPr>
                <w:b/>
                <w:bCs/>
                <w:sz w:val="18"/>
                <w:szCs w:val="18"/>
              </w:rPr>
              <w:t xml:space="preserve"> </w:t>
            </w:r>
          </w:p>
        </w:tc>
        <w:tc>
          <w:tcPr>
            <w:tcW w:w="851" w:type="dxa"/>
            <w:vAlign w:val="bottom"/>
          </w:tcPr>
          <w:p w:rsidR="00FD06F3" w:rsidRDefault="00FD06F3">
            <w:pPr>
              <w:widowControl w:val="0"/>
              <w:ind w:left="-108" w:right="-108"/>
              <w:jc w:val="center"/>
              <w:rPr>
                <w:sz w:val="18"/>
                <w:szCs w:val="18"/>
              </w:rPr>
            </w:pPr>
          </w:p>
        </w:tc>
        <w:tc>
          <w:tcPr>
            <w:tcW w:w="1701" w:type="dxa"/>
            <w:vAlign w:val="bottom"/>
          </w:tcPr>
          <w:p w:rsidR="00FD06F3" w:rsidRDefault="00FD06F3">
            <w:pPr>
              <w:tabs>
                <w:tab w:val="decimal" w:pos="1247"/>
              </w:tabs>
              <w:ind w:right="145"/>
              <w:jc w:val="left"/>
              <w:rPr>
                <w:sz w:val="18"/>
                <w:szCs w:val="18"/>
              </w:rPr>
            </w:pPr>
          </w:p>
        </w:tc>
        <w:tc>
          <w:tcPr>
            <w:tcW w:w="1701" w:type="dxa"/>
            <w:vAlign w:val="bottom"/>
          </w:tcPr>
          <w:p w:rsidR="00FD06F3" w:rsidRDefault="00FD06F3">
            <w:pPr>
              <w:widowControl w:val="0"/>
              <w:tabs>
                <w:tab w:val="decimal" w:pos="1247"/>
              </w:tabs>
              <w:ind w:right="145"/>
              <w:jc w:val="left"/>
              <w:rPr>
                <w:b/>
                <w:sz w:val="18"/>
                <w:szCs w:val="18"/>
              </w:rPr>
            </w:pPr>
          </w:p>
        </w:tc>
      </w:tr>
      <w:tr w:rsidR="00FD06F3">
        <w:trPr>
          <w:trHeight w:val="23"/>
          <w:jc w:val="center"/>
        </w:trPr>
        <w:tc>
          <w:tcPr>
            <w:tcW w:w="5386" w:type="dxa"/>
            <w:vAlign w:val="bottom"/>
          </w:tcPr>
          <w:p w:rsidR="00FD06F3" w:rsidRDefault="0054425B">
            <w:pPr>
              <w:pStyle w:val="Tabletext"/>
              <w:widowControl w:val="0"/>
              <w:ind w:left="5" w:right="-108" w:hanging="113"/>
              <w:jc w:val="left"/>
            </w:pPr>
            <w:r>
              <w:t>Расходы на продажу и маркетинг</w:t>
            </w:r>
          </w:p>
        </w:tc>
        <w:tc>
          <w:tcPr>
            <w:tcW w:w="851" w:type="dxa"/>
            <w:vAlign w:val="bottom"/>
          </w:tcPr>
          <w:p w:rsidR="00FD06F3" w:rsidRDefault="0054425B">
            <w:pPr>
              <w:widowControl w:val="0"/>
              <w:ind w:left="-108" w:right="-108"/>
              <w:jc w:val="center"/>
              <w:rPr>
                <w:sz w:val="18"/>
                <w:szCs w:val="18"/>
              </w:rPr>
            </w:pPr>
            <w:r>
              <w:rPr>
                <w:sz w:val="18"/>
                <w:szCs w:val="18"/>
              </w:rPr>
              <w:t>15</w:t>
            </w:r>
          </w:p>
        </w:tc>
        <w:tc>
          <w:tcPr>
            <w:tcW w:w="1701" w:type="dxa"/>
            <w:vAlign w:val="bottom"/>
          </w:tcPr>
          <w:p w:rsidR="00FD06F3" w:rsidRDefault="0054425B">
            <w:pPr>
              <w:tabs>
                <w:tab w:val="decimal" w:pos="1247"/>
              </w:tabs>
              <w:ind w:right="145"/>
              <w:jc w:val="left"/>
              <w:rPr>
                <w:sz w:val="18"/>
                <w:szCs w:val="18"/>
              </w:rPr>
            </w:pPr>
            <w:r>
              <w:rPr>
                <w:sz w:val="18"/>
                <w:szCs w:val="18"/>
              </w:rPr>
              <w:t>(336 802)</w:t>
            </w:r>
          </w:p>
        </w:tc>
        <w:tc>
          <w:tcPr>
            <w:tcW w:w="1701" w:type="dxa"/>
            <w:vAlign w:val="bottom"/>
          </w:tcPr>
          <w:p w:rsidR="00FD06F3" w:rsidRDefault="0054425B">
            <w:pPr>
              <w:tabs>
                <w:tab w:val="decimal" w:pos="1247"/>
              </w:tabs>
              <w:ind w:right="145"/>
              <w:jc w:val="left"/>
              <w:rPr>
                <w:sz w:val="18"/>
                <w:szCs w:val="18"/>
              </w:rPr>
            </w:pPr>
            <w:r>
              <w:rPr>
                <w:sz w:val="18"/>
                <w:szCs w:val="18"/>
              </w:rPr>
              <w:t>(302 045)</w:t>
            </w:r>
          </w:p>
        </w:tc>
      </w:tr>
      <w:tr w:rsidR="00FD06F3">
        <w:trPr>
          <w:trHeight w:val="23"/>
          <w:jc w:val="center"/>
        </w:trPr>
        <w:tc>
          <w:tcPr>
            <w:tcW w:w="5386" w:type="dxa"/>
            <w:vAlign w:val="bottom"/>
          </w:tcPr>
          <w:p w:rsidR="00FD06F3" w:rsidRDefault="0054425B">
            <w:pPr>
              <w:pStyle w:val="Tabletext"/>
              <w:widowControl w:val="0"/>
              <w:ind w:left="5" w:right="-108" w:hanging="113"/>
              <w:jc w:val="left"/>
            </w:pPr>
            <w:r>
              <w:t>Административные расходы</w:t>
            </w:r>
          </w:p>
        </w:tc>
        <w:tc>
          <w:tcPr>
            <w:tcW w:w="851" w:type="dxa"/>
            <w:vAlign w:val="bottom"/>
          </w:tcPr>
          <w:p w:rsidR="00FD06F3" w:rsidRDefault="0054425B">
            <w:pPr>
              <w:widowControl w:val="0"/>
              <w:ind w:left="-108" w:right="-108"/>
              <w:jc w:val="center"/>
              <w:rPr>
                <w:sz w:val="18"/>
                <w:szCs w:val="18"/>
              </w:rPr>
            </w:pPr>
            <w:r>
              <w:rPr>
                <w:sz w:val="18"/>
                <w:szCs w:val="18"/>
              </w:rPr>
              <w:t>15</w:t>
            </w:r>
          </w:p>
        </w:tc>
        <w:tc>
          <w:tcPr>
            <w:tcW w:w="1701" w:type="dxa"/>
            <w:vAlign w:val="bottom"/>
          </w:tcPr>
          <w:p w:rsidR="00FD06F3" w:rsidRDefault="0054425B">
            <w:pPr>
              <w:tabs>
                <w:tab w:val="decimal" w:pos="1247"/>
              </w:tabs>
              <w:ind w:right="145"/>
              <w:jc w:val="left"/>
              <w:rPr>
                <w:sz w:val="18"/>
                <w:szCs w:val="18"/>
              </w:rPr>
            </w:pPr>
            <w:r>
              <w:rPr>
                <w:sz w:val="18"/>
                <w:szCs w:val="18"/>
              </w:rPr>
              <w:t>(548 391)</w:t>
            </w:r>
          </w:p>
        </w:tc>
        <w:tc>
          <w:tcPr>
            <w:tcW w:w="1701" w:type="dxa"/>
            <w:vAlign w:val="bottom"/>
          </w:tcPr>
          <w:p w:rsidR="00FD06F3" w:rsidRDefault="0054425B">
            <w:pPr>
              <w:tabs>
                <w:tab w:val="decimal" w:pos="1247"/>
              </w:tabs>
              <w:ind w:right="145"/>
              <w:jc w:val="left"/>
              <w:rPr>
                <w:sz w:val="18"/>
                <w:szCs w:val="18"/>
              </w:rPr>
            </w:pPr>
            <w:r>
              <w:rPr>
                <w:sz w:val="18"/>
                <w:szCs w:val="18"/>
              </w:rPr>
              <w:t>(538 335)</w:t>
            </w:r>
          </w:p>
        </w:tc>
      </w:tr>
      <w:tr w:rsidR="00FD06F3">
        <w:trPr>
          <w:trHeight w:val="23"/>
          <w:jc w:val="center"/>
        </w:trPr>
        <w:tc>
          <w:tcPr>
            <w:tcW w:w="5386" w:type="dxa"/>
            <w:vAlign w:val="bottom"/>
          </w:tcPr>
          <w:p w:rsidR="00FD06F3" w:rsidRDefault="0054425B">
            <w:pPr>
              <w:pStyle w:val="Tabletext"/>
              <w:widowControl w:val="0"/>
              <w:ind w:left="5" w:right="-108" w:hanging="113"/>
              <w:jc w:val="left"/>
            </w:pPr>
            <w:r>
              <w:t>Прочие операционные расходы, нетто</w:t>
            </w:r>
          </w:p>
        </w:tc>
        <w:tc>
          <w:tcPr>
            <w:tcW w:w="851" w:type="dxa"/>
            <w:vAlign w:val="bottom"/>
          </w:tcPr>
          <w:p w:rsidR="00FD06F3" w:rsidRDefault="0054425B">
            <w:pPr>
              <w:widowControl w:val="0"/>
              <w:ind w:left="-108" w:right="-108"/>
              <w:jc w:val="center"/>
              <w:rPr>
                <w:sz w:val="18"/>
                <w:szCs w:val="18"/>
              </w:rPr>
            </w:pPr>
            <w:r>
              <w:rPr>
                <w:sz w:val="18"/>
                <w:szCs w:val="18"/>
              </w:rPr>
              <w:t>16</w:t>
            </w:r>
          </w:p>
        </w:tc>
        <w:tc>
          <w:tcPr>
            <w:tcW w:w="1701" w:type="dxa"/>
            <w:tcBorders>
              <w:bottom w:val="single" w:sz="6" w:space="0" w:color="auto"/>
            </w:tcBorders>
            <w:vAlign w:val="bottom"/>
          </w:tcPr>
          <w:p w:rsidR="00FD06F3" w:rsidRDefault="0054425B">
            <w:pPr>
              <w:tabs>
                <w:tab w:val="decimal" w:pos="1247"/>
              </w:tabs>
              <w:ind w:right="145"/>
              <w:jc w:val="left"/>
              <w:rPr>
                <w:sz w:val="18"/>
                <w:szCs w:val="18"/>
              </w:rPr>
            </w:pPr>
            <w:r>
              <w:rPr>
                <w:sz w:val="18"/>
                <w:szCs w:val="18"/>
              </w:rPr>
              <w:t>(79 547)</w:t>
            </w:r>
          </w:p>
        </w:tc>
        <w:tc>
          <w:tcPr>
            <w:tcW w:w="1701" w:type="dxa"/>
            <w:tcBorders>
              <w:bottom w:val="single" w:sz="6" w:space="0" w:color="auto"/>
            </w:tcBorders>
            <w:vAlign w:val="bottom"/>
          </w:tcPr>
          <w:p w:rsidR="00FD06F3" w:rsidRDefault="0054425B">
            <w:pPr>
              <w:tabs>
                <w:tab w:val="decimal" w:pos="1247"/>
              </w:tabs>
              <w:ind w:right="145"/>
              <w:jc w:val="left"/>
              <w:rPr>
                <w:sz w:val="18"/>
                <w:szCs w:val="18"/>
              </w:rPr>
            </w:pPr>
            <w:r>
              <w:rPr>
                <w:sz w:val="18"/>
                <w:szCs w:val="18"/>
              </w:rPr>
              <w:t>(165 353)</w:t>
            </w:r>
          </w:p>
        </w:tc>
      </w:tr>
      <w:tr w:rsidR="00FD06F3">
        <w:trPr>
          <w:trHeight w:val="23"/>
          <w:jc w:val="center"/>
        </w:trPr>
        <w:tc>
          <w:tcPr>
            <w:tcW w:w="5386" w:type="dxa"/>
            <w:vAlign w:val="bottom"/>
          </w:tcPr>
          <w:p w:rsidR="00FD06F3" w:rsidRDefault="0054425B">
            <w:pPr>
              <w:pStyle w:val="BoldTabletext"/>
              <w:widowControl w:val="0"/>
              <w:ind w:left="5" w:right="-108" w:hanging="113"/>
              <w:jc w:val="left"/>
            </w:pPr>
            <w:r>
              <w:t>Прибыль/(убыток) от операционной деятельности</w:t>
            </w:r>
          </w:p>
        </w:tc>
        <w:tc>
          <w:tcPr>
            <w:tcW w:w="851" w:type="dxa"/>
            <w:vAlign w:val="bottom"/>
          </w:tcPr>
          <w:p w:rsidR="00FD06F3" w:rsidRDefault="00FD06F3">
            <w:pPr>
              <w:widowControl w:val="0"/>
              <w:ind w:left="-108" w:right="-108"/>
              <w:jc w:val="center"/>
              <w:rPr>
                <w:sz w:val="18"/>
                <w:szCs w:val="18"/>
              </w:rPr>
            </w:pPr>
          </w:p>
        </w:tc>
        <w:tc>
          <w:tcPr>
            <w:tcW w:w="1701" w:type="dxa"/>
            <w:tcBorders>
              <w:top w:val="single" w:sz="6" w:space="0" w:color="auto"/>
            </w:tcBorders>
            <w:vAlign w:val="bottom"/>
          </w:tcPr>
          <w:p w:rsidR="00FD06F3" w:rsidRDefault="0054425B">
            <w:pPr>
              <w:tabs>
                <w:tab w:val="decimal" w:pos="1247"/>
              </w:tabs>
              <w:ind w:right="145"/>
              <w:jc w:val="left"/>
              <w:rPr>
                <w:b/>
                <w:sz w:val="18"/>
                <w:szCs w:val="18"/>
              </w:rPr>
            </w:pPr>
            <w:r>
              <w:rPr>
                <w:b/>
                <w:sz w:val="18"/>
                <w:szCs w:val="18"/>
              </w:rPr>
              <w:t>1 183 370</w:t>
            </w:r>
          </w:p>
        </w:tc>
        <w:tc>
          <w:tcPr>
            <w:tcW w:w="1701" w:type="dxa"/>
            <w:tcBorders>
              <w:top w:val="single" w:sz="6" w:space="0" w:color="auto"/>
            </w:tcBorders>
            <w:vAlign w:val="bottom"/>
          </w:tcPr>
          <w:p w:rsidR="00FD06F3" w:rsidRDefault="0054425B">
            <w:pPr>
              <w:tabs>
                <w:tab w:val="decimal" w:pos="1247"/>
              </w:tabs>
              <w:ind w:right="145"/>
              <w:jc w:val="left"/>
              <w:rPr>
                <w:b/>
                <w:sz w:val="18"/>
                <w:szCs w:val="18"/>
              </w:rPr>
            </w:pPr>
            <w:r>
              <w:rPr>
                <w:b/>
                <w:sz w:val="18"/>
                <w:szCs w:val="18"/>
              </w:rPr>
              <w:t>(198 527)</w:t>
            </w:r>
          </w:p>
        </w:tc>
      </w:tr>
      <w:tr w:rsidR="00FD06F3">
        <w:trPr>
          <w:trHeight w:val="23"/>
          <w:jc w:val="center"/>
        </w:trPr>
        <w:tc>
          <w:tcPr>
            <w:tcW w:w="5386" w:type="dxa"/>
            <w:vAlign w:val="bottom"/>
          </w:tcPr>
          <w:p w:rsidR="00FD06F3" w:rsidRDefault="0054425B">
            <w:pPr>
              <w:pStyle w:val="BoldTabletext"/>
              <w:widowControl w:val="0"/>
              <w:ind w:left="5" w:right="-108" w:hanging="113"/>
              <w:jc w:val="left"/>
            </w:pPr>
            <w:r>
              <w:t xml:space="preserve"> </w:t>
            </w:r>
          </w:p>
        </w:tc>
        <w:tc>
          <w:tcPr>
            <w:tcW w:w="851" w:type="dxa"/>
            <w:vAlign w:val="bottom"/>
          </w:tcPr>
          <w:p w:rsidR="00FD06F3" w:rsidRDefault="00FD06F3">
            <w:pPr>
              <w:widowControl w:val="0"/>
              <w:ind w:left="-108" w:right="-108"/>
              <w:jc w:val="center"/>
              <w:rPr>
                <w:sz w:val="18"/>
                <w:szCs w:val="18"/>
              </w:rPr>
            </w:pPr>
          </w:p>
        </w:tc>
        <w:tc>
          <w:tcPr>
            <w:tcW w:w="1701" w:type="dxa"/>
            <w:vAlign w:val="bottom"/>
          </w:tcPr>
          <w:p w:rsidR="00FD06F3" w:rsidRDefault="00FD06F3">
            <w:pPr>
              <w:tabs>
                <w:tab w:val="decimal" w:pos="1247"/>
              </w:tabs>
              <w:ind w:right="145"/>
              <w:jc w:val="left"/>
              <w:rPr>
                <w:sz w:val="18"/>
                <w:szCs w:val="18"/>
              </w:rPr>
            </w:pPr>
          </w:p>
        </w:tc>
        <w:tc>
          <w:tcPr>
            <w:tcW w:w="1701" w:type="dxa"/>
            <w:vAlign w:val="bottom"/>
          </w:tcPr>
          <w:p w:rsidR="00FD06F3" w:rsidRDefault="00FD06F3">
            <w:pPr>
              <w:widowControl w:val="0"/>
              <w:tabs>
                <w:tab w:val="decimal" w:pos="1247"/>
              </w:tabs>
              <w:ind w:right="145"/>
              <w:jc w:val="left"/>
              <w:rPr>
                <w:b/>
                <w:sz w:val="18"/>
                <w:szCs w:val="18"/>
              </w:rPr>
            </w:pPr>
          </w:p>
        </w:tc>
      </w:tr>
      <w:tr w:rsidR="00FD06F3">
        <w:trPr>
          <w:trHeight w:val="23"/>
          <w:jc w:val="center"/>
        </w:trPr>
        <w:tc>
          <w:tcPr>
            <w:tcW w:w="5386" w:type="dxa"/>
            <w:vAlign w:val="bottom"/>
          </w:tcPr>
          <w:p w:rsidR="00FD06F3" w:rsidRDefault="0054425B">
            <w:pPr>
              <w:pStyle w:val="Tabletext"/>
              <w:widowControl w:val="0"/>
              <w:ind w:left="5" w:right="-108" w:hanging="113"/>
              <w:jc w:val="left"/>
            </w:pPr>
            <w:r>
              <w:t>Финансовые доходы, нетто</w:t>
            </w:r>
          </w:p>
        </w:tc>
        <w:tc>
          <w:tcPr>
            <w:tcW w:w="851" w:type="dxa"/>
            <w:vAlign w:val="bottom"/>
          </w:tcPr>
          <w:p w:rsidR="00FD06F3" w:rsidRDefault="0054425B">
            <w:pPr>
              <w:widowControl w:val="0"/>
              <w:ind w:left="-108" w:right="-108"/>
              <w:jc w:val="center"/>
              <w:rPr>
                <w:sz w:val="18"/>
                <w:szCs w:val="18"/>
              </w:rPr>
            </w:pPr>
            <w:r>
              <w:rPr>
                <w:sz w:val="18"/>
                <w:szCs w:val="18"/>
              </w:rPr>
              <w:t>17</w:t>
            </w:r>
          </w:p>
        </w:tc>
        <w:tc>
          <w:tcPr>
            <w:tcW w:w="1701" w:type="dxa"/>
            <w:vAlign w:val="bottom"/>
          </w:tcPr>
          <w:p w:rsidR="00FD06F3" w:rsidRDefault="0054425B">
            <w:pPr>
              <w:tabs>
                <w:tab w:val="decimal" w:pos="1247"/>
              </w:tabs>
              <w:ind w:right="145"/>
              <w:jc w:val="left"/>
              <w:rPr>
                <w:sz w:val="18"/>
                <w:szCs w:val="18"/>
              </w:rPr>
            </w:pPr>
            <w:r>
              <w:rPr>
                <w:sz w:val="18"/>
                <w:szCs w:val="18"/>
              </w:rPr>
              <w:t>134 113</w:t>
            </w:r>
          </w:p>
        </w:tc>
        <w:tc>
          <w:tcPr>
            <w:tcW w:w="1701" w:type="dxa"/>
            <w:vAlign w:val="bottom"/>
          </w:tcPr>
          <w:p w:rsidR="00FD06F3" w:rsidRDefault="0054425B">
            <w:pPr>
              <w:tabs>
                <w:tab w:val="decimal" w:pos="1247"/>
              </w:tabs>
              <w:ind w:right="145"/>
              <w:jc w:val="left"/>
              <w:rPr>
                <w:sz w:val="18"/>
                <w:szCs w:val="18"/>
              </w:rPr>
            </w:pPr>
            <w:r>
              <w:rPr>
                <w:sz w:val="18"/>
                <w:szCs w:val="18"/>
              </w:rPr>
              <w:t>409 313</w:t>
            </w:r>
          </w:p>
        </w:tc>
      </w:tr>
      <w:tr w:rsidR="00FD06F3">
        <w:trPr>
          <w:trHeight w:val="23"/>
          <w:jc w:val="center"/>
        </w:trPr>
        <w:tc>
          <w:tcPr>
            <w:tcW w:w="5386" w:type="dxa"/>
            <w:vAlign w:val="bottom"/>
          </w:tcPr>
          <w:p w:rsidR="00FD06F3" w:rsidRDefault="0054425B">
            <w:pPr>
              <w:pStyle w:val="Tabletext"/>
              <w:widowControl w:val="0"/>
              <w:ind w:left="5" w:right="-108" w:hanging="113"/>
              <w:jc w:val="left"/>
            </w:pPr>
            <w:r>
              <w:t xml:space="preserve">Убыток от инвестиций в </w:t>
            </w:r>
            <w:r>
              <w:t>ассоциированную компанию</w:t>
            </w:r>
          </w:p>
        </w:tc>
        <w:tc>
          <w:tcPr>
            <w:tcW w:w="851" w:type="dxa"/>
            <w:vAlign w:val="bottom"/>
          </w:tcPr>
          <w:p w:rsidR="00FD06F3" w:rsidRDefault="0054425B">
            <w:pPr>
              <w:widowControl w:val="0"/>
              <w:ind w:left="-108" w:right="-108"/>
              <w:jc w:val="center"/>
              <w:rPr>
                <w:sz w:val="18"/>
                <w:szCs w:val="18"/>
              </w:rPr>
            </w:pPr>
            <w:r>
              <w:rPr>
                <w:sz w:val="18"/>
                <w:szCs w:val="18"/>
              </w:rPr>
              <w:t>5</w:t>
            </w:r>
          </w:p>
        </w:tc>
        <w:tc>
          <w:tcPr>
            <w:tcW w:w="1701" w:type="dxa"/>
            <w:tcBorders>
              <w:bottom w:val="single" w:sz="6" w:space="0" w:color="auto"/>
            </w:tcBorders>
            <w:vAlign w:val="bottom"/>
          </w:tcPr>
          <w:p w:rsidR="00FD06F3" w:rsidRDefault="0054425B">
            <w:pPr>
              <w:tabs>
                <w:tab w:val="decimal" w:pos="1247"/>
              </w:tabs>
              <w:ind w:right="145"/>
              <w:jc w:val="left"/>
              <w:rPr>
                <w:sz w:val="18"/>
                <w:szCs w:val="18"/>
              </w:rPr>
            </w:pPr>
            <w:r>
              <w:rPr>
                <w:sz w:val="18"/>
                <w:szCs w:val="18"/>
              </w:rPr>
              <w:t>(38 266)</w:t>
            </w:r>
          </w:p>
        </w:tc>
        <w:tc>
          <w:tcPr>
            <w:tcW w:w="1701" w:type="dxa"/>
            <w:tcBorders>
              <w:bottom w:val="single" w:sz="6" w:space="0" w:color="auto"/>
            </w:tcBorders>
            <w:vAlign w:val="bottom"/>
          </w:tcPr>
          <w:p w:rsidR="00FD06F3" w:rsidRDefault="0054425B">
            <w:pPr>
              <w:tabs>
                <w:tab w:val="decimal" w:pos="1247"/>
              </w:tabs>
              <w:ind w:right="145"/>
              <w:jc w:val="left"/>
              <w:rPr>
                <w:sz w:val="18"/>
                <w:szCs w:val="18"/>
              </w:rPr>
            </w:pPr>
            <w:r>
              <w:rPr>
                <w:sz w:val="18"/>
                <w:szCs w:val="18"/>
              </w:rPr>
              <w:t>(11 822)</w:t>
            </w:r>
          </w:p>
        </w:tc>
      </w:tr>
      <w:tr w:rsidR="00FD06F3">
        <w:trPr>
          <w:trHeight w:val="23"/>
          <w:jc w:val="center"/>
        </w:trPr>
        <w:tc>
          <w:tcPr>
            <w:tcW w:w="5386" w:type="dxa"/>
            <w:vAlign w:val="bottom"/>
          </w:tcPr>
          <w:p w:rsidR="00FD06F3" w:rsidRDefault="0054425B">
            <w:pPr>
              <w:pStyle w:val="BoldTabletext"/>
              <w:widowControl w:val="0"/>
              <w:ind w:left="5" w:right="-108" w:hanging="113"/>
              <w:jc w:val="left"/>
            </w:pPr>
            <w:r>
              <w:t>Прибыль до налогообложения</w:t>
            </w:r>
          </w:p>
        </w:tc>
        <w:tc>
          <w:tcPr>
            <w:tcW w:w="851" w:type="dxa"/>
            <w:vAlign w:val="bottom"/>
          </w:tcPr>
          <w:p w:rsidR="00FD06F3" w:rsidRDefault="00FD06F3">
            <w:pPr>
              <w:widowControl w:val="0"/>
              <w:ind w:left="-108" w:right="-108"/>
              <w:jc w:val="center"/>
              <w:rPr>
                <w:sz w:val="18"/>
                <w:szCs w:val="18"/>
              </w:rPr>
            </w:pPr>
          </w:p>
        </w:tc>
        <w:tc>
          <w:tcPr>
            <w:tcW w:w="1701" w:type="dxa"/>
            <w:tcBorders>
              <w:top w:val="single" w:sz="6" w:space="0" w:color="auto"/>
            </w:tcBorders>
            <w:vAlign w:val="bottom"/>
          </w:tcPr>
          <w:p w:rsidR="00FD06F3" w:rsidRDefault="0054425B">
            <w:pPr>
              <w:tabs>
                <w:tab w:val="decimal" w:pos="1247"/>
              </w:tabs>
              <w:ind w:right="145"/>
              <w:jc w:val="left"/>
              <w:rPr>
                <w:sz w:val="18"/>
                <w:szCs w:val="18"/>
              </w:rPr>
            </w:pPr>
            <w:r>
              <w:rPr>
                <w:b/>
                <w:sz w:val="18"/>
                <w:szCs w:val="18"/>
              </w:rPr>
              <w:t>1 279 217</w:t>
            </w:r>
          </w:p>
        </w:tc>
        <w:tc>
          <w:tcPr>
            <w:tcW w:w="1701" w:type="dxa"/>
            <w:tcBorders>
              <w:top w:val="single" w:sz="6" w:space="0" w:color="auto"/>
            </w:tcBorders>
            <w:vAlign w:val="bottom"/>
          </w:tcPr>
          <w:p w:rsidR="00FD06F3" w:rsidRDefault="0054425B">
            <w:pPr>
              <w:tabs>
                <w:tab w:val="decimal" w:pos="1247"/>
              </w:tabs>
              <w:ind w:right="145"/>
              <w:jc w:val="left"/>
              <w:rPr>
                <w:sz w:val="18"/>
                <w:szCs w:val="18"/>
              </w:rPr>
            </w:pPr>
            <w:r>
              <w:rPr>
                <w:sz w:val="18"/>
                <w:szCs w:val="18"/>
              </w:rPr>
              <w:t>198 964</w:t>
            </w:r>
          </w:p>
        </w:tc>
      </w:tr>
      <w:tr w:rsidR="00FD06F3">
        <w:trPr>
          <w:trHeight w:val="23"/>
          <w:jc w:val="center"/>
        </w:trPr>
        <w:tc>
          <w:tcPr>
            <w:tcW w:w="5386" w:type="dxa"/>
            <w:vAlign w:val="bottom"/>
          </w:tcPr>
          <w:p w:rsidR="00FD06F3" w:rsidRDefault="0054425B">
            <w:pPr>
              <w:pStyle w:val="BoldTabletext"/>
              <w:widowControl w:val="0"/>
              <w:ind w:left="5" w:right="-108" w:hanging="113"/>
              <w:jc w:val="left"/>
            </w:pPr>
            <w:r>
              <w:t xml:space="preserve"> </w:t>
            </w:r>
          </w:p>
        </w:tc>
        <w:tc>
          <w:tcPr>
            <w:tcW w:w="851" w:type="dxa"/>
            <w:vAlign w:val="bottom"/>
          </w:tcPr>
          <w:p w:rsidR="00FD06F3" w:rsidRDefault="00FD06F3">
            <w:pPr>
              <w:widowControl w:val="0"/>
              <w:ind w:left="-108" w:right="-108"/>
              <w:jc w:val="center"/>
              <w:rPr>
                <w:sz w:val="18"/>
                <w:szCs w:val="18"/>
              </w:rPr>
            </w:pPr>
          </w:p>
        </w:tc>
        <w:tc>
          <w:tcPr>
            <w:tcW w:w="1701" w:type="dxa"/>
            <w:vAlign w:val="bottom"/>
          </w:tcPr>
          <w:p w:rsidR="00FD06F3" w:rsidRDefault="00FD06F3">
            <w:pPr>
              <w:tabs>
                <w:tab w:val="decimal" w:pos="1247"/>
              </w:tabs>
              <w:ind w:right="145"/>
              <w:jc w:val="left"/>
              <w:rPr>
                <w:sz w:val="18"/>
                <w:szCs w:val="18"/>
              </w:rPr>
            </w:pPr>
          </w:p>
        </w:tc>
        <w:tc>
          <w:tcPr>
            <w:tcW w:w="1701" w:type="dxa"/>
            <w:vAlign w:val="bottom"/>
          </w:tcPr>
          <w:p w:rsidR="00FD06F3" w:rsidRDefault="00FD06F3">
            <w:pPr>
              <w:tabs>
                <w:tab w:val="decimal" w:pos="1247"/>
              </w:tabs>
              <w:ind w:right="145"/>
              <w:jc w:val="left"/>
              <w:rPr>
                <w:sz w:val="18"/>
                <w:szCs w:val="18"/>
              </w:rPr>
            </w:pPr>
          </w:p>
        </w:tc>
      </w:tr>
      <w:tr w:rsidR="00FD06F3">
        <w:trPr>
          <w:trHeight w:val="23"/>
          <w:jc w:val="center"/>
        </w:trPr>
        <w:tc>
          <w:tcPr>
            <w:tcW w:w="5386" w:type="dxa"/>
            <w:vAlign w:val="bottom"/>
          </w:tcPr>
          <w:p w:rsidR="00FD06F3" w:rsidRDefault="0054425B">
            <w:pPr>
              <w:pStyle w:val="Tabletext"/>
              <w:widowControl w:val="0"/>
              <w:ind w:left="5" w:right="-108" w:hanging="113"/>
              <w:jc w:val="left"/>
            </w:pPr>
            <w:r>
              <w:t>Расходы по налогу на прибыль</w:t>
            </w:r>
          </w:p>
        </w:tc>
        <w:tc>
          <w:tcPr>
            <w:tcW w:w="851" w:type="dxa"/>
            <w:vAlign w:val="bottom"/>
          </w:tcPr>
          <w:p w:rsidR="00FD06F3" w:rsidRDefault="0054425B">
            <w:pPr>
              <w:widowControl w:val="0"/>
              <w:ind w:left="-108" w:right="-108"/>
              <w:jc w:val="center"/>
              <w:rPr>
                <w:sz w:val="18"/>
                <w:szCs w:val="18"/>
              </w:rPr>
            </w:pPr>
            <w:r>
              <w:rPr>
                <w:sz w:val="18"/>
                <w:szCs w:val="18"/>
              </w:rPr>
              <w:t>12</w:t>
            </w:r>
          </w:p>
        </w:tc>
        <w:tc>
          <w:tcPr>
            <w:tcW w:w="1701" w:type="dxa"/>
            <w:tcBorders>
              <w:bottom w:val="single" w:sz="6" w:space="0" w:color="auto"/>
            </w:tcBorders>
            <w:vAlign w:val="bottom"/>
          </w:tcPr>
          <w:p w:rsidR="00FD06F3" w:rsidRDefault="0054425B">
            <w:pPr>
              <w:tabs>
                <w:tab w:val="decimal" w:pos="1247"/>
              </w:tabs>
              <w:ind w:right="145"/>
              <w:jc w:val="left"/>
              <w:rPr>
                <w:sz w:val="18"/>
                <w:szCs w:val="18"/>
              </w:rPr>
            </w:pPr>
            <w:r>
              <w:rPr>
                <w:sz w:val="18"/>
                <w:szCs w:val="18"/>
              </w:rPr>
              <w:t>(244 522)</w:t>
            </w:r>
          </w:p>
        </w:tc>
        <w:tc>
          <w:tcPr>
            <w:tcW w:w="1701" w:type="dxa"/>
            <w:tcBorders>
              <w:bottom w:val="single" w:sz="6" w:space="0" w:color="auto"/>
            </w:tcBorders>
            <w:vAlign w:val="bottom"/>
          </w:tcPr>
          <w:p w:rsidR="00FD06F3" w:rsidRDefault="0054425B">
            <w:pPr>
              <w:tabs>
                <w:tab w:val="decimal" w:pos="1247"/>
              </w:tabs>
              <w:ind w:right="145"/>
              <w:jc w:val="left"/>
              <w:rPr>
                <w:sz w:val="18"/>
                <w:szCs w:val="18"/>
              </w:rPr>
            </w:pPr>
            <w:r>
              <w:rPr>
                <w:sz w:val="18"/>
                <w:szCs w:val="18"/>
              </w:rPr>
              <w:t>(70 828)</w:t>
            </w:r>
          </w:p>
        </w:tc>
      </w:tr>
      <w:tr w:rsidR="00FD06F3">
        <w:trPr>
          <w:trHeight w:val="23"/>
          <w:jc w:val="center"/>
        </w:trPr>
        <w:tc>
          <w:tcPr>
            <w:tcW w:w="5386" w:type="dxa"/>
            <w:vAlign w:val="bottom"/>
          </w:tcPr>
          <w:p w:rsidR="00FD06F3" w:rsidRDefault="0054425B">
            <w:pPr>
              <w:pStyle w:val="BoldTabletext"/>
              <w:widowControl w:val="0"/>
              <w:ind w:left="5" w:right="-108" w:hanging="113"/>
              <w:jc w:val="left"/>
            </w:pPr>
            <w:r>
              <w:t>Прибыль за год</w:t>
            </w:r>
          </w:p>
        </w:tc>
        <w:tc>
          <w:tcPr>
            <w:tcW w:w="851" w:type="dxa"/>
            <w:vAlign w:val="bottom"/>
          </w:tcPr>
          <w:p w:rsidR="00FD06F3" w:rsidRDefault="00FD06F3">
            <w:pPr>
              <w:widowControl w:val="0"/>
              <w:ind w:left="-108" w:right="-108"/>
              <w:jc w:val="center"/>
              <w:rPr>
                <w:sz w:val="18"/>
                <w:szCs w:val="18"/>
              </w:rPr>
            </w:pPr>
          </w:p>
        </w:tc>
        <w:tc>
          <w:tcPr>
            <w:tcW w:w="1701" w:type="dxa"/>
            <w:tcBorders>
              <w:top w:val="single" w:sz="6" w:space="0" w:color="auto"/>
              <w:bottom w:val="single" w:sz="6" w:space="0" w:color="auto"/>
            </w:tcBorders>
            <w:vAlign w:val="bottom"/>
          </w:tcPr>
          <w:p w:rsidR="00FD06F3" w:rsidRDefault="0054425B">
            <w:pPr>
              <w:tabs>
                <w:tab w:val="decimal" w:pos="1247"/>
              </w:tabs>
              <w:ind w:right="145"/>
              <w:jc w:val="left"/>
              <w:rPr>
                <w:b/>
                <w:sz w:val="18"/>
                <w:szCs w:val="18"/>
              </w:rPr>
            </w:pPr>
            <w:r>
              <w:rPr>
                <w:b/>
                <w:sz w:val="18"/>
                <w:szCs w:val="18"/>
              </w:rPr>
              <w:t>1 034 695</w:t>
            </w:r>
          </w:p>
        </w:tc>
        <w:tc>
          <w:tcPr>
            <w:tcW w:w="1701" w:type="dxa"/>
            <w:tcBorders>
              <w:top w:val="single" w:sz="6" w:space="0" w:color="auto"/>
              <w:bottom w:val="single" w:sz="6" w:space="0" w:color="auto"/>
            </w:tcBorders>
            <w:vAlign w:val="bottom"/>
          </w:tcPr>
          <w:p w:rsidR="00FD06F3" w:rsidRDefault="0054425B">
            <w:pPr>
              <w:widowControl w:val="0"/>
              <w:tabs>
                <w:tab w:val="decimal" w:pos="1247"/>
              </w:tabs>
              <w:ind w:right="145"/>
              <w:jc w:val="left"/>
              <w:rPr>
                <w:b/>
                <w:sz w:val="18"/>
                <w:szCs w:val="18"/>
              </w:rPr>
            </w:pPr>
            <w:r>
              <w:rPr>
                <w:b/>
                <w:sz w:val="18"/>
                <w:szCs w:val="18"/>
              </w:rPr>
              <w:t>128 136</w:t>
            </w:r>
          </w:p>
        </w:tc>
      </w:tr>
      <w:tr w:rsidR="00FD06F3">
        <w:trPr>
          <w:trHeight w:val="340"/>
          <w:jc w:val="center"/>
        </w:trPr>
        <w:tc>
          <w:tcPr>
            <w:tcW w:w="5386" w:type="dxa"/>
            <w:vAlign w:val="bottom"/>
          </w:tcPr>
          <w:p w:rsidR="00FD06F3" w:rsidRDefault="0054425B">
            <w:pPr>
              <w:pStyle w:val="BoldTabletext"/>
              <w:widowControl w:val="0"/>
              <w:ind w:left="5" w:right="-108" w:hanging="113"/>
              <w:jc w:val="left"/>
            </w:pPr>
            <w:r>
              <w:t>Итого совокупный доход за год, за вычетом налогов</w:t>
            </w:r>
          </w:p>
        </w:tc>
        <w:tc>
          <w:tcPr>
            <w:tcW w:w="851" w:type="dxa"/>
            <w:vAlign w:val="bottom"/>
          </w:tcPr>
          <w:p w:rsidR="00FD06F3" w:rsidRDefault="00FD06F3">
            <w:pPr>
              <w:widowControl w:val="0"/>
              <w:ind w:left="-108" w:right="-108"/>
              <w:jc w:val="center"/>
              <w:rPr>
                <w:sz w:val="18"/>
                <w:szCs w:val="18"/>
              </w:rPr>
            </w:pPr>
          </w:p>
        </w:tc>
        <w:tc>
          <w:tcPr>
            <w:tcW w:w="1701" w:type="dxa"/>
            <w:tcBorders>
              <w:top w:val="single" w:sz="6" w:space="0" w:color="auto"/>
              <w:bottom w:val="single" w:sz="12" w:space="0" w:color="auto"/>
            </w:tcBorders>
            <w:vAlign w:val="bottom"/>
          </w:tcPr>
          <w:p w:rsidR="00FD06F3" w:rsidRDefault="0054425B">
            <w:pPr>
              <w:tabs>
                <w:tab w:val="decimal" w:pos="1247"/>
              </w:tabs>
              <w:ind w:right="145"/>
              <w:jc w:val="left"/>
              <w:rPr>
                <w:b/>
                <w:sz w:val="18"/>
                <w:szCs w:val="18"/>
              </w:rPr>
            </w:pPr>
            <w:r>
              <w:rPr>
                <w:b/>
                <w:sz w:val="18"/>
                <w:szCs w:val="18"/>
              </w:rPr>
              <w:t>1 034 695</w:t>
            </w:r>
          </w:p>
        </w:tc>
        <w:tc>
          <w:tcPr>
            <w:tcW w:w="1701" w:type="dxa"/>
            <w:tcBorders>
              <w:top w:val="single" w:sz="6" w:space="0" w:color="auto"/>
              <w:bottom w:val="single" w:sz="12" w:space="0" w:color="auto"/>
            </w:tcBorders>
            <w:vAlign w:val="bottom"/>
          </w:tcPr>
          <w:p w:rsidR="00FD06F3" w:rsidRDefault="0054425B">
            <w:pPr>
              <w:widowControl w:val="0"/>
              <w:tabs>
                <w:tab w:val="decimal" w:pos="1247"/>
              </w:tabs>
              <w:ind w:right="145"/>
              <w:jc w:val="left"/>
              <w:rPr>
                <w:b/>
                <w:bCs/>
                <w:sz w:val="18"/>
                <w:szCs w:val="18"/>
                <w:highlight w:val="yellow"/>
              </w:rPr>
            </w:pPr>
            <w:r>
              <w:rPr>
                <w:b/>
                <w:sz w:val="18"/>
                <w:szCs w:val="18"/>
              </w:rPr>
              <w:t>128 136</w:t>
            </w:r>
          </w:p>
        </w:tc>
      </w:tr>
      <w:tr w:rsidR="00FD06F3">
        <w:trPr>
          <w:trHeight w:val="20"/>
          <w:jc w:val="center"/>
        </w:trPr>
        <w:tc>
          <w:tcPr>
            <w:tcW w:w="5386" w:type="dxa"/>
            <w:vAlign w:val="bottom"/>
          </w:tcPr>
          <w:p w:rsidR="00FD06F3" w:rsidRDefault="0054425B">
            <w:pPr>
              <w:pStyle w:val="BoldTabletext"/>
              <w:widowControl w:val="0"/>
              <w:ind w:left="5" w:right="-108" w:hanging="113"/>
              <w:jc w:val="left"/>
            </w:pPr>
            <w:r>
              <w:t xml:space="preserve"> </w:t>
            </w:r>
          </w:p>
        </w:tc>
        <w:tc>
          <w:tcPr>
            <w:tcW w:w="851" w:type="dxa"/>
            <w:vAlign w:val="bottom"/>
          </w:tcPr>
          <w:p w:rsidR="00FD06F3" w:rsidRDefault="00FD06F3">
            <w:pPr>
              <w:widowControl w:val="0"/>
              <w:ind w:left="-108" w:right="-108"/>
              <w:jc w:val="center"/>
              <w:rPr>
                <w:sz w:val="18"/>
                <w:szCs w:val="18"/>
              </w:rPr>
            </w:pPr>
          </w:p>
        </w:tc>
        <w:tc>
          <w:tcPr>
            <w:tcW w:w="1701" w:type="dxa"/>
            <w:tcBorders>
              <w:top w:val="single" w:sz="12" w:space="0" w:color="auto"/>
            </w:tcBorders>
            <w:vAlign w:val="bottom"/>
          </w:tcPr>
          <w:p w:rsidR="00FD06F3" w:rsidRDefault="00FD06F3">
            <w:pPr>
              <w:widowControl w:val="0"/>
              <w:tabs>
                <w:tab w:val="decimal" w:pos="1247"/>
              </w:tabs>
              <w:ind w:right="145"/>
              <w:jc w:val="left"/>
              <w:rPr>
                <w:b/>
                <w:sz w:val="18"/>
                <w:szCs w:val="18"/>
              </w:rPr>
            </w:pPr>
          </w:p>
        </w:tc>
        <w:tc>
          <w:tcPr>
            <w:tcW w:w="1701" w:type="dxa"/>
            <w:tcBorders>
              <w:top w:val="single" w:sz="12" w:space="0" w:color="auto"/>
            </w:tcBorders>
            <w:vAlign w:val="bottom"/>
          </w:tcPr>
          <w:p w:rsidR="00FD06F3" w:rsidRDefault="00FD06F3">
            <w:pPr>
              <w:widowControl w:val="0"/>
              <w:tabs>
                <w:tab w:val="decimal" w:pos="1247"/>
              </w:tabs>
              <w:ind w:right="145"/>
              <w:jc w:val="left"/>
              <w:rPr>
                <w:b/>
                <w:sz w:val="18"/>
                <w:szCs w:val="18"/>
              </w:rPr>
            </w:pPr>
          </w:p>
        </w:tc>
      </w:tr>
      <w:tr w:rsidR="00FD06F3">
        <w:trPr>
          <w:trHeight w:val="20"/>
          <w:jc w:val="center"/>
        </w:trPr>
        <w:tc>
          <w:tcPr>
            <w:tcW w:w="5386" w:type="dxa"/>
            <w:vAlign w:val="bottom"/>
          </w:tcPr>
          <w:p w:rsidR="00FD06F3" w:rsidRDefault="0054425B">
            <w:pPr>
              <w:pStyle w:val="Text33"/>
              <w:widowControl w:val="0"/>
              <w:spacing w:after="0"/>
              <w:ind w:left="5" w:right="-108" w:hanging="113"/>
              <w:jc w:val="left"/>
              <w:rPr>
                <w:sz w:val="18"/>
                <w:szCs w:val="18"/>
              </w:rPr>
            </w:pPr>
            <w:r>
              <w:rPr>
                <w:b/>
                <w:bCs/>
                <w:sz w:val="18"/>
                <w:szCs w:val="18"/>
              </w:rPr>
              <w:t>Прибыль и общий совокупный доход за год, за вычетом налогов</w:t>
            </w:r>
          </w:p>
        </w:tc>
        <w:tc>
          <w:tcPr>
            <w:tcW w:w="851" w:type="dxa"/>
            <w:vAlign w:val="bottom"/>
          </w:tcPr>
          <w:p w:rsidR="00FD06F3" w:rsidRDefault="00FD06F3">
            <w:pPr>
              <w:widowControl w:val="0"/>
              <w:ind w:left="-108" w:right="-108"/>
              <w:jc w:val="center"/>
              <w:rPr>
                <w:sz w:val="18"/>
                <w:szCs w:val="18"/>
              </w:rPr>
            </w:pPr>
          </w:p>
        </w:tc>
        <w:tc>
          <w:tcPr>
            <w:tcW w:w="1701" w:type="dxa"/>
            <w:vAlign w:val="bottom"/>
          </w:tcPr>
          <w:p w:rsidR="00FD06F3" w:rsidRDefault="00FD06F3">
            <w:pPr>
              <w:widowControl w:val="0"/>
              <w:tabs>
                <w:tab w:val="decimal" w:pos="1247"/>
              </w:tabs>
              <w:ind w:right="145"/>
              <w:jc w:val="left"/>
              <w:rPr>
                <w:b/>
                <w:sz w:val="18"/>
                <w:szCs w:val="18"/>
              </w:rPr>
            </w:pPr>
          </w:p>
        </w:tc>
        <w:tc>
          <w:tcPr>
            <w:tcW w:w="1701" w:type="dxa"/>
            <w:vAlign w:val="bottom"/>
          </w:tcPr>
          <w:p w:rsidR="00FD06F3" w:rsidRDefault="00FD06F3">
            <w:pPr>
              <w:widowControl w:val="0"/>
              <w:tabs>
                <w:tab w:val="decimal" w:pos="1247"/>
              </w:tabs>
              <w:ind w:right="145"/>
              <w:jc w:val="left"/>
              <w:rPr>
                <w:b/>
                <w:sz w:val="18"/>
                <w:szCs w:val="18"/>
              </w:rPr>
            </w:pPr>
          </w:p>
        </w:tc>
      </w:tr>
      <w:tr w:rsidR="00FD06F3">
        <w:trPr>
          <w:trHeight w:val="20"/>
          <w:jc w:val="center"/>
        </w:trPr>
        <w:tc>
          <w:tcPr>
            <w:tcW w:w="5386" w:type="dxa"/>
            <w:vAlign w:val="bottom"/>
          </w:tcPr>
          <w:p w:rsidR="00FD06F3" w:rsidRDefault="0054425B">
            <w:pPr>
              <w:pStyle w:val="BoldTabletext"/>
              <w:widowControl w:val="0"/>
              <w:ind w:left="5" w:right="-108" w:hanging="113"/>
              <w:jc w:val="left"/>
              <w:rPr>
                <w:i/>
              </w:rPr>
            </w:pPr>
            <w:r>
              <w:rPr>
                <w:b w:val="0"/>
                <w:bCs w:val="0"/>
                <w:i/>
              </w:rPr>
              <w:t>Приходящиеся на:</w:t>
            </w:r>
          </w:p>
        </w:tc>
        <w:tc>
          <w:tcPr>
            <w:tcW w:w="851" w:type="dxa"/>
            <w:vAlign w:val="bottom"/>
          </w:tcPr>
          <w:p w:rsidR="00FD06F3" w:rsidRDefault="00FD06F3">
            <w:pPr>
              <w:widowControl w:val="0"/>
              <w:ind w:left="-108" w:right="-108"/>
              <w:jc w:val="center"/>
              <w:rPr>
                <w:sz w:val="18"/>
                <w:szCs w:val="18"/>
              </w:rPr>
            </w:pPr>
          </w:p>
        </w:tc>
        <w:tc>
          <w:tcPr>
            <w:tcW w:w="1701" w:type="dxa"/>
            <w:vAlign w:val="bottom"/>
          </w:tcPr>
          <w:p w:rsidR="00FD06F3" w:rsidRDefault="00FD06F3">
            <w:pPr>
              <w:widowControl w:val="0"/>
              <w:tabs>
                <w:tab w:val="decimal" w:pos="1247"/>
              </w:tabs>
              <w:ind w:right="145"/>
              <w:jc w:val="left"/>
              <w:rPr>
                <w:b/>
                <w:sz w:val="18"/>
                <w:szCs w:val="18"/>
              </w:rPr>
            </w:pPr>
          </w:p>
        </w:tc>
        <w:tc>
          <w:tcPr>
            <w:tcW w:w="1701" w:type="dxa"/>
            <w:vAlign w:val="bottom"/>
          </w:tcPr>
          <w:p w:rsidR="00FD06F3" w:rsidRDefault="00FD06F3">
            <w:pPr>
              <w:widowControl w:val="0"/>
              <w:tabs>
                <w:tab w:val="decimal" w:pos="1247"/>
              </w:tabs>
              <w:ind w:right="145"/>
              <w:jc w:val="left"/>
              <w:rPr>
                <w:b/>
                <w:sz w:val="18"/>
                <w:szCs w:val="18"/>
              </w:rPr>
            </w:pPr>
          </w:p>
        </w:tc>
      </w:tr>
      <w:tr w:rsidR="00FD06F3">
        <w:trPr>
          <w:trHeight w:val="20"/>
          <w:jc w:val="center"/>
        </w:trPr>
        <w:tc>
          <w:tcPr>
            <w:tcW w:w="5386" w:type="dxa"/>
            <w:vAlign w:val="bottom"/>
          </w:tcPr>
          <w:p w:rsidR="00FD06F3" w:rsidRDefault="0054425B">
            <w:pPr>
              <w:pStyle w:val="BoldTabletext"/>
              <w:widowControl w:val="0"/>
              <w:ind w:left="5" w:right="-108" w:hanging="113"/>
              <w:jc w:val="left"/>
            </w:pPr>
            <w:r>
              <w:rPr>
                <w:b w:val="0"/>
                <w:bCs w:val="0"/>
              </w:rPr>
              <w:t>Акционеров материнской компании</w:t>
            </w:r>
          </w:p>
        </w:tc>
        <w:tc>
          <w:tcPr>
            <w:tcW w:w="851" w:type="dxa"/>
            <w:vAlign w:val="bottom"/>
          </w:tcPr>
          <w:p w:rsidR="00FD06F3" w:rsidRDefault="00FD06F3">
            <w:pPr>
              <w:widowControl w:val="0"/>
              <w:ind w:left="-108" w:right="-108"/>
              <w:jc w:val="center"/>
              <w:rPr>
                <w:sz w:val="18"/>
                <w:szCs w:val="18"/>
              </w:rPr>
            </w:pPr>
          </w:p>
        </w:tc>
        <w:tc>
          <w:tcPr>
            <w:tcW w:w="1701" w:type="dxa"/>
            <w:vAlign w:val="bottom"/>
          </w:tcPr>
          <w:p w:rsidR="00FD06F3" w:rsidRDefault="0054425B">
            <w:pPr>
              <w:tabs>
                <w:tab w:val="decimal" w:pos="1247"/>
              </w:tabs>
              <w:ind w:right="145"/>
              <w:jc w:val="left"/>
              <w:rPr>
                <w:sz w:val="18"/>
                <w:szCs w:val="18"/>
              </w:rPr>
            </w:pPr>
            <w:r>
              <w:rPr>
                <w:sz w:val="18"/>
                <w:szCs w:val="18"/>
              </w:rPr>
              <w:t>1 061 666</w:t>
            </w:r>
          </w:p>
        </w:tc>
        <w:tc>
          <w:tcPr>
            <w:tcW w:w="1701" w:type="dxa"/>
            <w:vAlign w:val="bottom"/>
          </w:tcPr>
          <w:p w:rsidR="00FD06F3" w:rsidRDefault="0054425B">
            <w:pPr>
              <w:tabs>
                <w:tab w:val="decimal" w:pos="1247"/>
              </w:tabs>
              <w:ind w:right="145"/>
              <w:jc w:val="left"/>
              <w:rPr>
                <w:sz w:val="18"/>
                <w:szCs w:val="18"/>
              </w:rPr>
            </w:pPr>
            <w:r>
              <w:rPr>
                <w:sz w:val="18"/>
                <w:szCs w:val="18"/>
              </w:rPr>
              <w:t>188 026</w:t>
            </w:r>
          </w:p>
        </w:tc>
      </w:tr>
      <w:tr w:rsidR="00FD06F3">
        <w:trPr>
          <w:trHeight w:val="20"/>
          <w:jc w:val="center"/>
        </w:trPr>
        <w:tc>
          <w:tcPr>
            <w:tcW w:w="5386" w:type="dxa"/>
            <w:vAlign w:val="bottom"/>
          </w:tcPr>
          <w:p w:rsidR="00FD06F3" w:rsidRDefault="0054425B">
            <w:pPr>
              <w:pStyle w:val="BoldTabletext"/>
              <w:widowControl w:val="0"/>
              <w:ind w:left="5" w:right="-108" w:hanging="113"/>
              <w:jc w:val="left"/>
            </w:pPr>
            <w:r>
              <w:rPr>
                <w:b w:val="0"/>
                <w:bCs w:val="0"/>
              </w:rPr>
              <w:t>Неконтрольные доли участия</w:t>
            </w:r>
          </w:p>
        </w:tc>
        <w:tc>
          <w:tcPr>
            <w:tcW w:w="851" w:type="dxa"/>
            <w:vAlign w:val="bottom"/>
          </w:tcPr>
          <w:p w:rsidR="00FD06F3" w:rsidRDefault="00FD06F3">
            <w:pPr>
              <w:widowControl w:val="0"/>
              <w:ind w:left="-108" w:right="-108"/>
              <w:jc w:val="center"/>
              <w:rPr>
                <w:sz w:val="18"/>
                <w:szCs w:val="18"/>
              </w:rPr>
            </w:pPr>
          </w:p>
        </w:tc>
        <w:tc>
          <w:tcPr>
            <w:tcW w:w="1701" w:type="dxa"/>
            <w:tcBorders>
              <w:bottom w:val="single" w:sz="6" w:space="0" w:color="auto"/>
            </w:tcBorders>
            <w:vAlign w:val="bottom"/>
          </w:tcPr>
          <w:p w:rsidR="00FD06F3" w:rsidRDefault="0054425B">
            <w:pPr>
              <w:tabs>
                <w:tab w:val="decimal" w:pos="1247"/>
              </w:tabs>
              <w:ind w:right="145"/>
              <w:jc w:val="left"/>
              <w:rPr>
                <w:sz w:val="18"/>
                <w:szCs w:val="18"/>
              </w:rPr>
            </w:pPr>
            <w:r>
              <w:rPr>
                <w:sz w:val="18"/>
                <w:szCs w:val="18"/>
              </w:rPr>
              <w:t>(26 971)</w:t>
            </w:r>
          </w:p>
        </w:tc>
        <w:tc>
          <w:tcPr>
            <w:tcW w:w="1701" w:type="dxa"/>
            <w:tcBorders>
              <w:bottom w:val="single" w:sz="6" w:space="0" w:color="auto"/>
            </w:tcBorders>
            <w:vAlign w:val="bottom"/>
          </w:tcPr>
          <w:p w:rsidR="00FD06F3" w:rsidRDefault="0054425B">
            <w:pPr>
              <w:tabs>
                <w:tab w:val="decimal" w:pos="1247"/>
              </w:tabs>
              <w:ind w:right="145"/>
              <w:jc w:val="left"/>
              <w:rPr>
                <w:sz w:val="18"/>
                <w:szCs w:val="18"/>
              </w:rPr>
            </w:pPr>
            <w:r>
              <w:rPr>
                <w:sz w:val="18"/>
                <w:szCs w:val="18"/>
              </w:rPr>
              <w:t>(59 890)</w:t>
            </w:r>
          </w:p>
        </w:tc>
      </w:tr>
      <w:tr w:rsidR="00FD06F3">
        <w:trPr>
          <w:trHeight w:val="340"/>
          <w:jc w:val="center"/>
        </w:trPr>
        <w:tc>
          <w:tcPr>
            <w:tcW w:w="5386" w:type="dxa"/>
            <w:vAlign w:val="bottom"/>
          </w:tcPr>
          <w:p w:rsidR="00FD06F3" w:rsidRDefault="00FD06F3">
            <w:pPr>
              <w:pStyle w:val="BoldTabletext"/>
              <w:widowControl w:val="0"/>
              <w:ind w:left="5" w:right="-108" w:hanging="113"/>
              <w:jc w:val="left"/>
            </w:pPr>
          </w:p>
        </w:tc>
        <w:tc>
          <w:tcPr>
            <w:tcW w:w="851" w:type="dxa"/>
            <w:vAlign w:val="bottom"/>
          </w:tcPr>
          <w:p w:rsidR="00FD06F3" w:rsidRDefault="00FD06F3">
            <w:pPr>
              <w:widowControl w:val="0"/>
              <w:ind w:left="-108" w:right="-108"/>
              <w:jc w:val="center"/>
              <w:rPr>
                <w:sz w:val="18"/>
                <w:szCs w:val="18"/>
              </w:rPr>
            </w:pPr>
          </w:p>
        </w:tc>
        <w:tc>
          <w:tcPr>
            <w:tcW w:w="1701" w:type="dxa"/>
            <w:tcBorders>
              <w:top w:val="single" w:sz="6" w:space="0" w:color="auto"/>
              <w:bottom w:val="single" w:sz="12" w:space="0" w:color="auto"/>
            </w:tcBorders>
            <w:vAlign w:val="bottom"/>
          </w:tcPr>
          <w:p w:rsidR="00FD06F3" w:rsidRDefault="0054425B">
            <w:pPr>
              <w:tabs>
                <w:tab w:val="decimal" w:pos="1247"/>
              </w:tabs>
              <w:ind w:right="145"/>
              <w:jc w:val="left"/>
              <w:rPr>
                <w:b/>
                <w:sz w:val="18"/>
                <w:szCs w:val="18"/>
              </w:rPr>
            </w:pPr>
            <w:r>
              <w:rPr>
                <w:b/>
                <w:sz w:val="18"/>
                <w:szCs w:val="18"/>
              </w:rPr>
              <w:t>1 034 695</w:t>
            </w:r>
          </w:p>
        </w:tc>
        <w:tc>
          <w:tcPr>
            <w:tcW w:w="1701" w:type="dxa"/>
            <w:tcBorders>
              <w:top w:val="single" w:sz="6" w:space="0" w:color="auto"/>
              <w:bottom w:val="single" w:sz="12" w:space="0" w:color="auto"/>
            </w:tcBorders>
            <w:vAlign w:val="bottom"/>
          </w:tcPr>
          <w:p w:rsidR="00FD06F3" w:rsidRDefault="0054425B">
            <w:pPr>
              <w:tabs>
                <w:tab w:val="decimal" w:pos="1247"/>
              </w:tabs>
              <w:ind w:right="145"/>
              <w:jc w:val="left"/>
              <w:rPr>
                <w:b/>
                <w:sz w:val="18"/>
                <w:szCs w:val="18"/>
              </w:rPr>
            </w:pPr>
            <w:r>
              <w:rPr>
                <w:b/>
                <w:sz w:val="18"/>
                <w:szCs w:val="18"/>
              </w:rPr>
              <w:t>128 136</w:t>
            </w:r>
          </w:p>
        </w:tc>
      </w:tr>
    </w:tbl>
    <w:p w:rsidR="00FD06F3" w:rsidRDefault="00FD06F3">
      <w:pPr>
        <w:pStyle w:val="Text33"/>
        <w:widowControl w:val="0"/>
        <w:spacing w:after="0"/>
      </w:pPr>
    </w:p>
    <w:p w:rsidR="00FD06F3" w:rsidRDefault="00FD06F3">
      <w:pPr>
        <w:widowControl w:val="0"/>
      </w:pPr>
    </w:p>
    <w:p w:rsidR="00FD06F3" w:rsidRDefault="00FD06F3">
      <w:pPr>
        <w:widowControl w:val="0"/>
      </w:pPr>
    </w:p>
    <w:p w:rsidR="00FD06F3" w:rsidRDefault="00FD06F3">
      <w:pPr>
        <w:widowControl w:val="0"/>
      </w:pPr>
    </w:p>
    <w:p w:rsidR="00FD06F3" w:rsidRDefault="00FD06F3">
      <w:pPr>
        <w:pStyle w:val="Text33"/>
        <w:widowControl w:val="0"/>
        <w:spacing w:after="0"/>
      </w:pPr>
    </w:p>
    <w:p w:rsidR="00FD06F3" w:rsidRDefault="0054425B">
      <w:pPr>
        <w:pStyle w:val="Text33"/>
        <w:widowControl w:val="0"/>
        <w:tabs>
          <w:tab w:val="left" w:pos="7938"/>
        </w:tabs>
        <w:spacing w:after="0"/>
      </w:pPr>
      <w:r>
        <w:t>Исполнительный директор</w:t>
      </w:r>
      <w:r>
        <w:tab/>
        <w:t>М.И. Зайченко</w:t>
      </w:r>
    </w:p>
    <w:p w:rsidR="00FD06F3" w:rsidRDefault="00FD06F3">
      <w:pPr>
        <w:pStyle w:val="Text33"/>
        <w:widowControl w:val="0"/>
        <w:spacing w:after="0"/>
      </w:pPr>
    </w:p>
    <w:p w:rsidR="00FD06F3" w:rsidRDefault="00FD06F3"/>
    <w:p w:rsidR="00FD06F3" w:rsidRDefault="00FD06F3"/>
    <w:p w:rsidR="00FD06F3" w:rsidRDefault="00FD06F3"/>
    <w:p w:rsidR="00FD06F3" w:rsidRDefault="00FD06F3"/>
    <w:p w:rsidR="00FD06F3" w:rsidRDefault="0054425B">
      <w:pPr>
        <w:pStyle w:val="Text33"/>
        <w:widowControl w:val="0"/>
        <w:tabs>
          <w:tab w:val="left" w:pos="7938"/>
        </w:tabs>
        <w:spacing w:after="0"/>
      </w:pPr>
      <w:r>
        <w:t>Главный бухгалтер</w:t>
      </w:r>
      <w:r>
        <w:tab/>
        <w:t>С.В. Мельниченко</w:t>
      </w:r>
    </w:p>
    <w:p w:rsidR="00FD06F3" w:rsidRDefault="00FD06F3">
      <w:pPr>
        <w:widowControl w:val="0"/>
      </w:pPr>
    </w:p>
    <w:p w:rsidR="00FD06F3" w:rsidRDefault="0054425B">
      <w:pPr>
        <w:widowControl w:val="0"/>
        <w:tabs>
          <w:tab w:val="left" w:pos="7938"/>
        </w:tabs>
      </w:pPr>
      <w:r>
        <w:tab/>
        <w:t>27 апреля 2018 г.</w:t>
      </w:r>
    </w:p>
    <w:p w:rsidR="00FD06F3" w:rsidRDefault="00FD06F3">
      <w:pPr>
        <w:pStyle w:val="level10"/>
        <w:jc w:val="left"/>
        <w:rPr>
          <w:rFonts w:ascii="Times New Roman" w:hAnsi="Times New Roman" w:cs="Times New Roman"/>
          <w:sz w:val="20"/>
          <w:szCs w:val="20"/>
        </w:rPr>
      </w:pPr>
    </w:p>
    <w:p w:rsidR="00FD06F3" w:rsidRDefault="00FD06F3">
      <w:pPr>
        <w:pStyle w:val="level10"/>
        <w:jc w:val="left"/>
        <w:rPr>
          <w:rFonts w:ascii="Times New Roman" w:hAnsi="Times New Roman" w:cs="Times New Roman"/>
          <w:sz w:val="20"/>
          <w:szCs w:val="20"/>
        </w:rPr>
        <w:sectPr w:rsidR="00FD06F3">
          <w:headerReference w:type="first" r:id="rId23"/>
          <w:pgSz w:w="11907" w:h="16840" w:code="9"/>
          <w:pgMar w:top="1134" w:right="851" w:bottom="851" w:left="1418" w:header="720" w:footer="720" w:gutter="0"/>
          <w:cols w:space="720"/>
        </w:sectPr>
      </w:pPr>
    </w:p>
    <w:p w:rsidR="00FD06F3" w:rsidRDefault="0054425B">
      <w:pPr>
        <w:pStyle w:val="level10"/>
        <w:jc w:val="left"/>
        <w:rPr>
          <w:rFonts w:ascii="Times New Roman" w:hAnsi="Times New Roman" w:cs="Times New Roman"/>
          <w:b/>
          <w:bCs/>
          <w:sz w:val="24"/>
          <w:szCs w:val="24"/>
        </w:rPr>
      </w:pPr>
      <w:bookmarkStart w:id="11" w:name="_Toc356225080"/>
      <w:bookmarkStart w:id="12" w:name="_Toc387743805"/>
      <w:bookmarkStart w:id="13" w:name="_Toc387743923"/>
      <w:r>
        <w:rPr>
          <w:rFonts w:ascii="Times New Roman" w:hAnsi="Times New Roman" w:cs="Times New Roman"/>
          <w:b/>
          <w:bCs/>
          <w:sz w:val="24"/>
          <w:szCs w:val="24"/>
        </w:rPr>
        <w:lastRenderedPageBreak/>
        <w:t>Консолидированный</w:t>
      </w:r>
      <w:r>
        <w:rPr>
          <w:rFonts w:ascii="Times New Roman" w:hAnsi="Times New Roman" w:cs="Times New Roman"/>
          <w:b/>
          <w:bCs/>
          <w:sz w:val="24"/>
          <w:szCs w:val="24"/>
        </w:rPr>
        <w:t xml:space="preserve"> отчет о движении денежных средств</w:t>
      </w:r>
      <w:bookmarkEnd w:id="11"/>
      <w:bookmarkEnd w:id="12"/>
      <w:bookmarkEnd w:id="13"/>
    </w:p>
    <w:p w:rsidR="00FD06F3" w:rsidRDefault="00FD06F3"/>
    <w:p w:rsidR="00FD06F3" w:rsidRDefault="00FD06F3"/>
    <w:tbl>
      <w:tblPr>
        <w:tblW w:w="9638" w:type="dxa"/>
        <w:jc w:val="center"/>
        <w:tblLayout w:type="fixed"/>
        <w:tblLook w:val="0000" w:firstRow="0" w:lastRow="0" w:firstColumn="0" w:lastColumn="0" w:noHBand="0" w:noVBand="0"/>
      </w:tblPr>
      <w:tblGrid>
        <w:gridCol w:w="5385"/>
        <w:gridCol w:w="851"/>
        <w:gridCol w:w="1701"/>
        <w:gridCol w:w="1701"/>
      </w:tblGrid>
      <w:tr w:rsidR="00FD06F3">
        <w:trPr>
          <w:trHeight w:val="23"/>
          <w:jc w:val="center"/>
        </w:trPr>
        <w:tc>
          <w:tcPr>
            <w:tcW w:w="5385" w:type="dxa"/>
            <w:vAlign w:val="bottom"/>
          </w:tcPr>
          <w:p w:rsidR="00FD06F3" w:rsidRDefault="00FD06F3">
            <w:pPr>
              <w:widowControl w:val="0"/>
              <w:spacing w:line="235" w:lineRule="auto"/>
              <w:ind w:left="5" w:right="-108" w:hanging="113"/>
              <w:jc w:val="left"/>
              <w:rPr>
                <w:i/>
                <w:iCs/>
                <w:sz w:val="16"/>
                <w:szCs w:val="16"/>
              </w:rPr>
            </w:pPr>
            <w:bookmarkStart w:id="14" w:name="RANGE_A1"/>
            <w:bookmarkEnd w:id="14"/>
          </w:p>
        </w:tc>
        <w:tc>
          <w:tcPr>
            <w:tcW w:w="851" w:type="dxa"/>
            <w:vAlign w:val="bottom"/>
          </w:tcPr>
          <w:p w:rsidR="00FD06F3" w:rsidRDefault="00FD06F3">
            <w:pPr>
              <w:widowControl w:val="0"/>
              <w:spacing w:line="235" w:lineRule="auto"/>
              <w:ind w:left="-108" w:right="-108"/>
              <w:jc w:val="center"/>
              <w:rPr>
                <w:b/>
                <w:bCs/>
                <w:sz w:val="16"/>
                <w:szCs w:val="16"/>
              </w:rPr>
            </w:pPr>
          </w:p>
        </w:tc>
        <w:tc>
          <w:tcPr>
            <w:tcW w:w="3402" w:type="dxa"/>
            <w:gridSpan w:val="2"/>
            <w:tcBorders>
              <w:bottom w:val="single" w:sz="6" w:space="0" w:color="auto"/>
            </w:tcBorders>
            <w:vAlign w:val="bottom"/>
          </w:tcPr>
          <w:p w:rsidR="00FD06F3" w:rsidRDefault="0054425B">
            <w:pPr>
              <w:widowControl w:val="0"/>
              <w:spacing w:line="235" w:lineRule="auto"/>
              <w:ind w:left="-108" w:right="-108"/>
              <w:jc w:val="center"/>
              <w:rPr>
                <w:b/>
                <w:bCs/>
                <w:sz w:val="16"/>
                <w:szCs w:val="16"/>
              </w:rPr>
            </w:pPr>
            <w:r>
              <w:rPr>
                <w:b/>
                <w:bCs/>
                <w:sz w:val="16"/>
                <w:szCs w:val="16"/>
              </w:rPr>
              <w:t>За год, закончившийся 31 декабря</w:t>
            </w:r>
          </w:p>
        </w:tc>
      </w:tr>
      <w:tr w:rsidR="00FD06F3">
        <w:trPr>
          <w:trHeight w:val="23"/>
          <w:jc w:val="center"/>
        </w:trPr>
        <w:tc>
          <w:tcPr>
            <w:tcW w:w="5385" w:type="dxa"/>
            <w:vAlign w:val="bottom"/>
          </w:tcPr>
          <w:p w:rsidR="00FD06F3" w:rsidRDefault="00FD06F3">
            <w:pPr>
              <w:widowControl w:val="0"/>
              <w:spacing w:line="235" w:lineRule="auto"/>
              <w:ind w:left="5" w:right="-108" w:hanging="113"/>
              <w:jc w:val="left"/>
              <w:rPr>
                <w:i/>
                <w:iCs/>
                <w:sz w:val="16"/>
                <w:szCs w:val="16"/>
              </w:rPr>
            </w:pPr>
          </w:p>
        </w:tc>
        <w:tc>
          <w:tcPr>
            <w:tcW w:w="851" w:type="dxa"/>
            <w:tcBorders>
              <w:bottom w:val="single" w:sz="6" w:space="0" w:color="auto"/>
            </w:tcBorders>
            <w:vAlign w:val="bottom"/>
          </w:tcPr>
          <w:p w:rsidR="00FD06F3" w:rsidRDefault="0054425B">
            <w:pPr>
              <w:widowControl w:val="0"/>
              <w:spacing w:line="235" w:lineRule="auto"/>
              <w:ind w:left="-108" w:right="-108"/>
              <w:jc w:val="center"/>
              <w:rPr>
                <w:b/>
                <w:bCs/>
                <w:sz w:val="16"/>
                <w:szCs w:val="16"/>
              </w:rPr>
            </w:pPr>
            <w:r>
              <w:rPr>
                <w:b/>
                <w:bCs/>
                <w:sz w:val="16"/>
                <w:szCs w:val="16"/>
              </w:rPr>
              <w:t>Прим.</w:t>
            </w:r>
          </w:p>
        </w:tc>
        <w:tc>
          <w:tcPr>
            <w:tcW w:w="1701" w:type="dxa"/>
            <w:tcBorders>
              <w:top w:val="single" w:sz="6" w:space="0" w:color="auto"/>
              <w:bottom w:val="single" w:sz="6" w:space="0" w:color="auto"/>
            </w:tcBorders>
            <w:vAlign w:val="bottom"/>
          </w:tcPr>
          <w:p w:rsidR="00FD06F3" w:rsidRDefault="0054425B">
            <w:pPr>
              <w:widowControl w:val="0"/>
              <w:spacing w:line="235" w:lineRule="auto"/>
              <w:ind w:left="-108" w:right="-108"/>
              <w:jc w:val="center"/>
              <w:rPr>
                <w:b/>
                <w:bCs/>
                <w:sz w:val="16"/>
                <w:szCs w:val="16"/>
              </w:rPr>
            </w:pPr>
            <w:r>
              <w:rPr>
                <w:b/>
                <w:bCs/>
                <w:sz w:val="16"/>
                <w:szCs w:val="16"/>
              </w:rPr>
              <w:t>2017 г.</w:t>
            </w:r>
          </w:p>
        </w:tc>
        <w:tc>
          <w:tcPr>
            <w:tcW w:w="1701" w:type="dxa"/>
            <w:tcBorders>
              <w:top w:val="single" w:sz="6" w:space="0" w:color="auto"/>
              <w:bottom w:val="single" w:sz="6" w:space="0" w:color="auto"/>
            </w:tcBorders>
            <w:vAlign w:val="bottom"/>
          </w:tcPr>
          <w:p w:rsidR="00FD06F3" w:rsidRDefault="0054425B">
            <w:pPr>
              <w:widowControl w:val="0"/>
              <w:spacing w:line="235" w:lineRule="auto"/>
              <w:ind w:left="-108" w:right="-108"/>
              <w:jc w:val="center"/>
              <w:rPr>
                <w:b/>
                <w:bCs/>
                <w:sz w:val="16"/>
                <w:szCs w:val="16"/>
              </w:rPr>
            </w:pPr>
            <w:r>
              <w:rPr>
                <w:b/>
                <w:bCs/>
                <w:sz w:val="16"/>
                <w:szCs w:val="16"/>
              </w:rPr>
              <w:t>2016 г.</w:t>
            </w:r>
          </w:p>
        </w:tc>
      </w:tr>
      <w:tr w:rsidR="00FD06F3">
        <w:trPr>
          <w:trHeight w:val="23"/>
          <w:jc w:val="center"/>
        </w:trPr>
        <w:tc>
          <w:tcPr>
            <w:tcW w:w="5385" w:type="dxa"/>
            <w:vAlign w:val="bottom"/>
          </w:tcPr>
          <w:p w:rsidR="00FD06F3" w:rsidRDefault="0054425B">
            <w:pPr>
              <w:pStyle w:val="Tabletext"/>
              <w:widowControl w:val="0"/>
              <w:spacing w:line="235" w:lineRule="auto"/>
              <w:ind w:left="5" w:right="-108" w:hanging="113"/>
              <w:jc w:val="left"/>
              <w:rPr>
                <w:b/>
                <w:bCs/>
                <w:sz w:val="16"/>
                <w:szCs w:val="16"/>
              </w:rPr>
            </w:pPr>
            <w:r>
              <w:rPr>
                <w:b/>
                <w:bCs/>
                <w:sz w:val="16"/>
                <w:szCs w:val="16"/>
              </w:rPr>
              <w:t>Движение денежных средств по операционной деятельности</w:t>
            </w:r>
          </w:p>
        </w:tc>
        <w:tc>
          <w:tcPr>
            <w:tcW w:w="851" w:type="dxa"/>
            <w:tcBorders>
              <w:top w:val="single" w:sz="6" w:space="0" w:color="auto"/>
            </w:tcBorders>
            <w:vAlign w:val="bottom"/>
          </w:tcPr>
          <w:p w:rsidR="00FD06F3" w:rsidRDefault="00FD06F3">
            <w:pPr>
              <w:pStyle w:val="Tabletext"/>
              <w:widowControl w:val="0"/>
              <w:spacing w:line="235" w:lineRule="auto"/>
              <w:ind w:left="-108" w:right="-108"/>
              <w:jc w:val="center"/>
              <w:rPr>
                <w:b/>
                <w:bCs/>
                <w:sz w:val="16"/>
                <w:szCs w:val="16"/>
              </w:rPr>
            </w:pPr>
          </w:p>
        </w:tc>
        <w:tc>
          <w:tcPr>
            <w:tcW w:w="1701" w:type="dxa"/>
            <w:tcBorders>
              <w:top w:val="single" w:sz="6" w:space="0" w:color="auto"/>
            </w:tcBorders>
            <w:vAlign w:val="bottom"/>
          </w:tcPr>
          <w:p w:rsidR="00FD06F3" w:rsidRDefault="00FD06F3">
            <w:pPr>
              <w:widowControl w:val="0"/>
              <w:tabs>
                <w:tab w:val="decimal" w:pos="1247"/>
              </w:tabs>
              <w:spacing w:line="235" w:lineRule="auto"/>
              <w:jc w:val="left"/>
              <w:rPr>
                <w:b/>
                <w:bCs/>
                <w:sz w:val="16"/>
                <w:szCs w:val="16"/>
              </w:rPr>
            </w:pPr>
          </w:p>
        </w:tc>
        <w:tc>
          <w:tcPr>
            <w:tcW w:w="1701" w:type="dxa"/>
            <w:tcBorders>
              <w:top w:val="single" w:sz="6" w:space="0" w:color="auto"/>
            </w:tcBorders>
            <w:vAlign w:val="bottom"/>
          </w:tcPr>
          <w:p w:rsidR="00FD06F3" w:rsidRDefault="00FD06F3">
            <w:pPr>
              <w:widowControl w:val="0"/>
              <w:tabs>
                <w:tab w:val="decimal" w:pos="1247"/>
              </w:tabs>
              <w:spacing w:line="235" w:lineRule="auto"/>
              <w:jc w:val="left"/>
              <w:rPr>
                <w:b/>
                <w:bCs/>
                <w:sz w:val="16"/>
                <w:szCs w:val="16"/>
              </w:rPr>
            </w:pP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Прибыль до налогообложения</w:t>
            </w:r>
          </w:p>
        </w:tc>
        <w:tc>
          <w:tcPr>
            <w:tcW w:w="851" w:type="dxa"/>
            <w:vAlign w:val="bottom"/>
          </w:tcPr>
          <w:p w:rsidR="00FD06F3" w:rsidRDefault="00FD06F3">
            <w:pPr>
              <w:widowControl w:val="0"/>
              <w:spacing w:line="235" w:lineRule="auto"/>
              <w:ind w:left="-108" w:right="-108"/>
              <w:jc w:val="center"/>
              <w:rPr>
                <w:sz w:val="16"/>
                <w:szCs w:val="16"/>
              </w:rPr>
            </w:pPr>
          </w:p>
        </w:tc>
        <w:tc>
          <w:tcPr>
            <w:tcW w:w="1701" w:type="dxa"/>
            <w:vAlign w:val="bottom"/>
          </w:tcPr>
          <w:p w:rsidR="00FD06F3" w:rsidRDefault="0054425B">
            <w:pPr>
              <w:pStyle w:val="Tabletext"/>
              <w:widowControl w:val="0"/>
              <w:tabs>
                <w:tab w:val="decimal" w:pos="1247"/>
              </w:tabs>
              <w:spacing w:line="235" w:lineRule="auto"/>
              <w:ind w:right="130"/>
              <w:jc w:val="left"/>
              <w:rPr>
                <w:sz w:val="16"/>
                <w:szCs w:val="16"/>
              </w:rPr>
            </w:pPr>
            <w:r>
              <w:rPr>
                <w:sz w:val="16"/>
                <w:szCs w:val="16"/>
              </w:rPr>
              <w:t>1 279 217</w:t>
            </w:r>
          </w:p>
        </w:tc>
        <w:tc>
          <w:tcPr>
            <w:tcW w:w="1701" w:type="dxa"/>
            <w:vAlign w:val="bottom"/>
          </w:tcPr>
          <w:p w:rsidR="00FD06F3" w:rsidRDefault="0054425B">
            <w:pPr>
              <w:pStyle w:val="Tabletext"/>
              <w:widowControl w:val="0"/>
              <w:tabs>
                <w:tab w:val="decimal" w:pos="1247"/>
              </w:tabs>
              <w:spacing w:line="235" w:lineRule="auto"/>
              <w:ind w:right="130"/>
              <w:jc w:val="left"/>
              <w:rPr>
                <w:sz w:val="16"/>
                <w:szCs w:val="16"/>
              </w:rPr>
            </w:pPr>
            <w:r>
              <w:rPr>
                <w:sz w:val="16"/>
                <w:szCs w:val="16"/>
              </w:rPr>
              <w:t>198 964</w:t>
            </w:r>
          </w:p>
        </w:tc>
      </w:tr>
      <w:tr w:rsidR="00FD06F3">
        <w:trPr>
          <w:trHeight w:hRule="exact" w:val="11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 xml:space="preserve"> </w:t>
            </w:r>
          </w:p>
        </w:tc>
        <w:tc>
          <w:tcPr>
            <w:tcW w:w="851" w:type="dxa"/>
            <w:vAlign w:val="bottom"/>
          </w:tcPr>
          <w:p w:rsidR="00FD06F3" w:rsidRDefault="00FD06F3">
            <w:pPr>
              <w:widowControl w:val="0"/>
              <w:spacing w:line="235" w:lineRule="auto"/>
              <w:ind w:left="-108" w:right="-108"/>
              <w:jc w:val="center"/>
              <w:rPr>
                <w:sz w:val="16"/>
                <w:szCs w:val="16"/>
              </w:rPr>
            </w:pPr>
          </w:p>
        </w:tc>
        <w:tc>
          <w:tcPr>
            <w:tcW w:w="1701" w:type="dxa"/>
            <w:vAlign w:val="bottom"/>
          </w:tcPr>
          <w:p w:rsidR="00FD06F3" w:rsidRDefault="00FD06F3">
            <w:pPr>
              <w:pStyle w:val="Tabletext"/>
              <w:widowControl w:val="0"/>
              <w:tabs>
                <w:tab w:val="decimal" w:pos="1247"/>
              </w:tabs>
              <w:spacing w:line="235" w:lineRule="auto"/>
              <w:ind w:right="130"/>
              <w:jc w:val="left"/>
              <w:rPr>
                <w:sz w:val="16"/>
                <w:szCs w:val="16"/>
              </w:rPr>
            </w:pPr>
          </w:p>
        </w:tc>
        <w:tc>
          <w:tcPr>
            <w:tcW w:w="1701" w:type="dxa"/>
            <w:vAlign w:val="bottom"/>
          </w:tcPr>
          <w:p w:rsidR="00FD06F3" w:rsidRDefault="00FD06F3">
            <w:pPr>
              <w:pStyle w:val="Tabletext"/>
              <w:widowControl w:val="0"/>
              <w:tabs>
                <w:tab w:val="decimal" w:pos="1247"/>
              </w:tabs>
              <w:spacing w:line="235" w:lineRule="auto"/>
              <w:ind w:right="130"/>
              <w:jc w:val="left"/>
              <w:rPr>
                <w:sz w:val="16"/>
                <w:szCs w:val="16"/>
              </w:rPr>
            </w:pP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i/>
                <w:sz w:val="16"/>
                <w:szCs w:val="16"/>
              </w:rPr>
            </w:pPr>
            <w:r>
              <w:rPr>
                <w:i/>
                <w:sz w:val="16"/>
                <w:szCs w:val="16"/>
              </w:rPr>
              <w:t xml:space="preserve">Корректировки для приведения прибыли до </w:t>
            </w:r>
            <w:r>
              <w:rPr>
                <w:i/>
                <w:sz w:val="16"/>
                <w:szCs w:val="16"/>
              </w:rPr>
              <w:t>налогообложения к поступлению денежных средств по операционной деятельности</w:t>
            </w:r>
          </w:p>
        </w:tc>
        <w:tc>
          <w:tcPr>
            <w:tcW w:w="851" w:type="dxa"/>
            <w:vAlign w:val="bottom"/>
          </w:tcPr>
          <w:p w:rsidR="00FD06F3" w:rsidRDefault="00FD06F3">
            <w:pPr>
              <w:widowControl w:val="0"/>
              <w:spacing w:line="235" w:lineRule="auto"/>
              <w:ind w:left="-108" w:right="-108"/>
              <w:jc w:val="center"/>
              <w:rPr>
                <w:sz w:val="16"/>
                <w:szCs w:val="16"/>
              </w:rPr>
            </w:pPr>
          </w:p>
        </w:tc>
        <w:tc>
          <w:tcPr>
            <w:tcW w:w="1701" w:type="dxa"/>
            <w:vAlign w:val="bottom"/>
          </w:tcPr>
          <w:p w:rsidR="00FD06F3" w:rsidRDefault="00FD06F3">
            <w:pPr>
              <w:pStyle w:val="Tabletext"/>
              <w:widowControl w:val="0"/>
              <w:tabs>
                <w:tab w:val="decimal" w:pos="1247"/>
              </w:tabs>
              <w:spacing w:line="235" w:lineRule="auto"/>
              <w:ind w:right="130"/>
              <w:jc w:val="left"/>
              <w:rPr>
                <w:sz w:val="16"/>
                <w:szCs w:val="16"/>
              </w:rPr>
            </w:pPr>
          </w:p>
        </w:tc>
        <w:tc>
          <w:tcPr>
            <w:tcW w:w="1701" w:type="dxa"/>
            <w:vAlign w:val="bottom"/>
          </w:tcPr>
          <w:p w:rsidR="00FD06F3" w:rsidRDefault="00FD06F3">
            <w:pPr>
              <w:pStyle w:val="Tabletext"/>
              <w:widowControl w:val="0"/>
              <w:tabs>
                <w:tab w:val="decimal" w:pos="1247"/>
              </w:tabs>
              <w:spacing w:line="235" w:lineRule="auto"/>
              <w:ind w:right="130"/>
              <w:jc w:val="left"/>
              <w:rPr>
                <w:sz w:val="16"/>
                <w:szCs w:val="16"/>
              </w:rPr>
            </w:pP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Износ и амортизация</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15</w:t>
            </w:r>
          </w:p>
        </w:tc>
        <w:tc>
          <w:tcPr>
            <w:tcW w:w="1701" w:type="dxa"/>
            <w:vAlign w:val="bottom"/>
          </w:tcPr>
          <w:p w:rsidR="00FD06F3" w:rsidRDefault="0054425B">
            <w:pPr>
              <w:pStyle w:val="Tabletext"/>
              <w:widowControl w:val="0"/>
              <w:tabs>
                <w:tab w:val="decimal" w:pos="1247"/>
              </w:tabs>
              <w:spacing w:line="235" w:lineRule="auto"/>
              <w:ind w:right="130"/>
              <w:jc w:val="left"/>
              <w:rPr>
                <w:sz w:val="16"/>
                <w:szCs w:val="16"/>
              </w:rPr>
            </w:pPr>
            <w:r>
              <w:rPr>
                <w:sz w:val="16"/>
                <w:szCs w:val="16"/>
              </w:rPr>
              <w:t>485 193</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461 478</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Процентные расходы по кредитам и займам, нетто</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17</w:t>
            </w:r>
          </w:p>
        </w:tc>
        <w:tc>
          <w:tcPr>
            <w:tcW w:w="1701" w:type="dxa"/>
            <w:vAlign w:val="bottom"/>
          </w:tcPr>
          <w:p w:rsidR="00FD06F3" w:rsidRDefault="0054425B">
            <w:pPr>
              <w:pStyle w:val="Tabletext"/>
              <w:widowControl w:val="0"/>
              <w:tabs>
                <w:tab w:val="decimal" w:pos="1247"/>
              </w:tabs>
              <w:spacing w:line="235" w:lineRule="auto"/>
              <w:ind w:right="130"/>
              <w:jc w:val="left"/>
              <w:rPr>
                <w:sz w:val="16"/>
                <w:szCs w:val="16"/>
              </w:rPr>
            </w:pPr>
            <w:r>
              <w:rPr>
                <w:sz w:val="16"/>
                <w:szCs w:val="16"/>
              </w:rPr>
              <w:t>5 721</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10 671</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Процентные доходы по долгосрочной дебиторской задолженности</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17</w:t>
            </w:r>
          </w:p>
        </w:tc>
        <w:tc>
          <w:tcPr>
            <w:tcW w:w="1701" w:type="dxa"/>
            <w:vAlign w:val="bottom"/>
          </w:tcPr>
          <w:p w:rsidR="00FD06F3" w:rsidRDefault="0054425B">
            <w:pPr>
              <w:pStyle w:val="Tabletext"/>
              <w:widowControl w:val="0"/>
              <w:tabs>
                <w:tab w:val="decimal" w:pos="1247"/>
              </w:tabs>
              <w:spacing w:line="235" w:lineRule="auto"/>
              <w:ind w:right="130"/>
              <w:jc w:val="left"/>
              <w:rPr>
                <w:sz w:val="16"/>
                <w:szCs w:val="16"/>
              </w:rPr>
            </w:pPr>
            <w:r>
              <w:rPr>
                <w:sz w:val="16"/>
                <w:szCs w:val="16"/>
              </w:rPr>
              <w:t>(71 823)</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(71 823)</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Убыток от выбытия основных средств</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16</w:t>
            </w:r>
          </w:p>
        </w:tc>
        <w:tc>
          <w:tcPr>
            <w:tcW w:w="1701" w:type="dxa"/>
            <w:vAlign w:val="bottom"/>
          </w:tcPr>
          <w:p w:rsidR="00FD06F3" w:rsidRDefault="0054425B">
            <w:pPr>
              <w:pStyle w:val="Tabletext"/>
              <w:widowControl w:val="0"/>
              <w:tabs>
                <w:tab w:val="decimal" w:pos="1247"/>
              </w:tabs>
              <w:spacing w:line="235" w:lineRule="auto"/>
              <w:ind w:right="130"/>
              <w:jc w:val="left"/>
              <w:rPr>
                <w:sz w:val="16"/>
                <w:szCs w:val="16"/>
              </w:rPr>
            </w:pPr>
            <w:r>
              <w:rPr>
                <w:sz w:val="16"/>
                <w:szCs w:val="16"/>
              </w:rPr>
              <w:t>5 416</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15 085</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(Прибыль)/убыток от выбытия нематериальных активов</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16</w:t>
            </w:r>
          </w:p>
        </w:tc>
        <w:tc>
          <w:tcPr>
            <w:tcW w:w="1701" w:type="dxa"/>
            <w:vAlign w:val="bottom"/>
          </w:tcPr>
          <w:p w:rsidR="00FD06F3" w:rsidRDefault="0054425B">
            <w:pPr>
              <w:pStyle w:val="Tabletext"/>
              <w:widowControl w:val="0"/>
              <w:tabs>
                <w:tab w:val="decimal" w:pos="1247"/>
              </w:tabs>
              <w:spacing w:line="235" w:lineRule="auto"/>
              <w:ind w:right="130"/>
              <w:jc w:val="left"/>
              <w:rPr>
                <w:sz w:val="16"/>
                <w:szCs w:val="16"/>
              </w:rPr>
            </w:pPr>
            <w:r>
              <w:rPr>
                <w:sz w:val="16"/>
                <w:szCs w:val="16"/>
              </w:rPr>
              <w:t>(8 338)</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2 832</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Убыток от списания исследований, не давших результата</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16</w:t>
            </w:r>
          </w:p>
        </w:tc>
        <w:tc>
          <w:tcPr>
            <w:tcW w:w="1701" w:type="dxa"/>
            <w:vAlign w:val="bottom"/>
          </w:tcPr>
          <w:p w:rsidR="00FD06F3" w:rsidRDefault="0054425B">
            <w:pPr>
              <w:pStyle w:val="Tabletext"/>
              <w:widowControl w:val="0"/>
              <w:tabs>
                <w:tab w:val="decimal" w:pos="1247"/>
              </w:tabs>
              <w:spacing w:line="235" w:lineRule="auto"/>
              <w:ind w:right="130"/>
              <w:jc w:val="left"/>
              <w:rPr>
                <w:sz w:val="16"/>
                <w:szCs w:val="16"/>
              </w:rPr>
            </w:pPr>
            <w:r>
              <w:rPr>
                <w:sz w:val="16"/>
                <w:szCs w:val="16"/>
              </w:rPr>
              <w:t>–</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50 200</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 xml:space="preserve">Убыток от изменения резерва под обесценение торговой </w:t>
            </w:r>
            <w:r>
              <w:rPr>
                <w:sz w:val="16"/>
                <w:szCs w:val="16"/>
              </w:rPr>
              <w:t>дебиторской задолженности и предоплаты</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8, 16</w:t>
            </w:r>
          </w:p>
        </w:tc>
        <w:tc>
          <w:tcPr>
            <w:tcW w:w="1701" w:type="dxa"/>
            <w:vAlign w:val="bottom"/>
          </w:tcPr>
          <w:p w:rsidR="00FD06F3" w:rsidRDefault="0054425B">
            <w:pPr>
              <w:pStyle w:val="Tabletext"/>
              <w:widowControl w:val="0"/>
              <w:tabs>
                <w:tab w:val="decimal" w:pos="1247"/>
              </w:tabs>
              <w:spacing w:line="235" w:lineRule="auto"/>
              <w:ind w:right="130"/>
              <w:jc w:val="left"/>
              <w:rPr>
                <w:sz w:val="16"/>
                <w:szCs w:val="16"/>
              </w:rPr>
            </w:pPr>
            <w:r>
              <w:rPr>
                <w:sz w:val="16"/>
                <w:szCs w:val="16"/>
              </w:rPr>
              <w:t>22 839</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61 208</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Убыток от изменения резерва под обесценение запасов</w:t>
            </w:r>
          </w:p>
        </w:tc>
        <w:tc>
          <w:tcPr>
            <w:tcW w:w="851" w:type="dxa"/>
            <w:vAlign w:val="bottom"/>
          </w:tcPr>
          <w:p w:rsidR="00FD06F3" w:rsidRDefault="00FD06F3">
            <w:pPr>
              <w:widowControl w:val="0"/>
              <w:spacing w:line="235" w:lineRule="auto"/>
              <w:ind w:left="-108" w:right="-108"/>
              <w:jc w:val="center"/>
              <w:rPr>
                <w:sz w:val="16"/>
                <w:szCs w:val="16"/>
              </w:rPr>
            </w:pPr>
          </w:p>
        </w:tc>
        <w:tc>
          <w:tcPr>
            <w:tcW w:w="1701" w:type="dxa"/>
            <w:vAlign w:val="bottom"/>
          </w:tcPr>
          <w:p w:rsidR="00FD06F3" w:rsidRDefault="0054425B">
            <w:pPr>
              <w:pStyle w:val="Tabletext"/>
              <w:widowControl w:val="0"/>
              <w:tabs>
                <w:tab w:val="decimal" w:pos="1247"/>
              </w:tabs>
              <w:spacing w:line="235" w:lineRule="auto"/>
              <w:ind w:right="130"/>
              <w:jc w:val="left"/>
              <w:rPr>
                <w:sz w:val="16"/>
                <w:szCs w:val="16"/>
              </w:rPr>
            </w:pPr>
            <w:r>
              <w:rPr>
                <w:sz w:val="16"/>
                <w:szCs w:val="16"/>
              </w:rPr>
              <w:t>1 804</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(14 101)</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Убыток от передачи готовой продукции связанной стороне</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16</w:t>
            </w:r>
          </w:p>
        </w:tc>
        <w:tc>
          <w:tcPr>
            <w:tcW w:w="1701" w:type="dxa"/>
            <w:vAlign w:val="bottom"/>
          </w:tcPr>
          <w:p w:rsidR="00FD06F3" w:rsidRDefault="0054425B">
            <w:pPr>
              <w:pStyle w:val="Tabletext"/>
              <w:widowControl w:val="0"/>
              <w:tabs>
                <w:tab w:val="decimal" w:pos="1247"/>
              </w:tabs>
              <w:spacing w:line="235" w:lineRule="auto"/>
              <w:ind w:right="130"/>
              <w:jc w:val="left"/>
              <w:rPr>
                <w:sz w:val="16"/>
                <w:szCs w:val="16"/>
              </w:rPr>
            </w:pPr>
            <w:r>
              <w:rPr>
                <w:sz w:val="16"/>
                <w:szCs w:val="16"/>
              </w:rPr>
              <w:t>19 488</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26 618</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Прибыль от изменения справедливой стоимости займов</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17</w:t>
            </w:r>
          </w:p>
        </w:tc>
        <w:tc>
          <w:tcPr>
            <w:tcW w:w="1701" w:type="dxa"/>
            <w:vAlign w:val="bottom"/>
          </w:tcPr>
          <w:p w:rsidR="00FD06F3" w:rsidRDefault="0054425B">
            <w:pPr>
              <w:pStyle w:val="Tabletext"/>
              <w:widowControl w:val="0"/>
              <w:tabs>
                <w:tab w:val="decimal" w:pos="1247"/>
              </w:tabs>
              <w:spacing w:line="235" w:lineRule="auto"/>
              <w:ind w:right="130"/>
              <w:jc w:val="left"/>
              <w:rPr>
                <w:sz w:val="16"/>
                <w:szCs w:val="16"/>
              </w:rPr>
            </w:pPr>
            <w:r>
              <w:rPr>
                <w:sz w:val="16"/>
                <w:szCs w:val="16"/>
              </w:rPr>
              <w:t>(57 074)</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(60 640)</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Амортизация финансовых гарантий</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17</w:t>
            </w:r>
          </w:p>
        </w:tc>
        <w:tc>
          <w:tcPr>
            <w:tcW w:w="1701" w:type="dxa"/>
            <w:vAlign w:val="bottom"/>
          </w:tcPr>
          <w:p w:rsidR="00FD06F3" w:rsidRDefault="0054425B">
            <w:pPr>
              <w:pStyle w:val="Tabletext"/>
              <w:widowControl w:val="0"/>
              <w:tabs>
                <w:tab w:val="decimal" w:pos="1247"/>
              </w:tabs>
              <w:spacing w:line="235" w:lineRule="auto"/>
              <w:ind w:right="130"/>
              <w:jc w:val="left"/>
              <w:rPr>
                <w:sz w:val="16"/>
                <w:szCs w:val="16"/>
              </w:rPr>
            </w:pPr>
            <w:r>
              <w:rPr>
                <w:sz w:val="16"/>
                <w:szCs w:val="16"/>
              </w:rPr>
              <w:t>(770)</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(766)</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Прибыль от переоценки прочих финансовых активов</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17, 18.4</w:t>
            </w:r>
          </w:p>
        </w:tc>
        <w:tc>
          <w:tcPr>
            <w:tcW w:w="1701" w:type="dxa"/>
            <w:vAlign w:val="bottom"/>
          </w:tcPr>
          <w:p w:rsidR="00FD06F3" w:rsidRDefault="0054425B">
            <w:pPr>
              <w:pStyle w:val="Tabletext"/>
              <w:widowControl w:val="0"/>
              <w:tabs>
                <w:tab w:val="decimal" w:pos="1247"/>
              </w:tabs>
              <w:spacing w:line="235" w:lineRule="auto"/>
              <w:ind w:right="130"/>
              <w:jc w:val="left"/>
              <w:rPr>
                <w:sz w:val="16"/>
                <w:szCs w:val="16"/>
              </w:rPr>
            </w:pPr>
            <w:r>
              <w:rPr>
                <w:sz w:val="16"/>
                <w:szCs w:val="16"/>
              </w:rPr>
              <w:t>(1 579)</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(1 302)</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Процентные доходы по прочим финансовым активам</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17, 18.4</w:t>
            </w:r>
          </w:p>
        </w:tc>
        <w:tc>
          <w:tcPr>
            <w:tcW w:w="1701" w:type="dxa"/>
            <w:vAlign w:val="bottom"/>
          </w:tcPr>
          <w:p w:rsidR="00FD06F3" w:rsidRDefault="0054425B">
            <w:pPr>
              <w:pStyle w:val="Tabletext"/>
              <w:widowControl w:val="0"/>
              <w:tabs>
                <w:tab w:val="decimal" w:pos="1247"/>
              </w:tabs>
              <w:spacing w:line="235" w:lineRule="auto"/>
              <w:ind w:right="130"/>
              <w:jc w:val="left"/>
              <w:rPr>
                <w:sz w:val="16"/>
                <w:szCs w:val="16"/>
              </w:rPr>
            </w:pPr>
            <w:r>
              <w:rPr>
                <w:sz w:val="16"/>
                <w:szCs w:val="16"/>
              </w:rPr>
              <w:t>(25 707)</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(26 640)</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 xml:space="preserve">Убыток от инвестиций в ассоциированную </w:t>
            </w:r>
            <w:r>
              <w:rPr>
                <w:sz w:val="16"/>
                <w:szCs w:val="16"/>
              </w:rPr>
              <w:t>компанию</w:t>
            </w:r>
          </w:p>
        </w:tc>
        <w:tc>
          <w:tcPr>
            <w:tcW w:w="851" w:type="dxa"/>
            <w:vAlign w:val="bottom"/>
          </w:tcPr>
          <w:p w:rsidR="00FD06F3" w:rsidRDefault="00FD06F3">
            <w:pPr>
              <w:widowControl w:val="0"/>
              <w:spacing w:line="235" w:lineRule="auto"/>
              <w:ind w:left="-108" w:right="-108"/>
              <w:jc w:val="center"/>
              <w:rPr>
                <w:sz w:val="16"/>
                <w:szCs w:val="16"/>
              </w:rPr>
            </w:pPr>
          </w:p>
        </w:tc>
        <w:tc>
          <w:tcPr>
            <w:tcW w:w="1701" w:type="dxa"/>
            <w:vAlign w:val="bottom"/>
          </w:tcPr>
          <w:p w:rsidR="00FD06F3" w:rsidRDefault="0054425B">
            <w:pPr>
              <w:pStyle w:val="Tabletext"/>
              <w:widowControl w:val="0"/>
              <w:tabs>
                <w:tab w:val="decimal" w:pos="1247"/>
              </w:tabs>
              <w:spacing w:line="235" w:lineRule="auto"/>
              <w:ind w:right="130"/>
              <w:jc w:val="left"/>
              <w:rPr>
                <w:sz w:val="16"/>
                <w:szCs w:val="16"/>
              </w:rPr>
            </w:pPr>
            <w:r>
              <w:rPr>
                <w:sz w:val="16"/>
                <w:szCs w:val="16"/>
              </w:rPr>
              <w:t>38 266</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11 822</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Нереализованные курсовые разницы, нетто</w:t>
            </w:r>
          </w:p>
        </w:tc>
        <w:tc>
          <w:tcPr>
            <w:tcW w:w="851" w:type="dxa"/>
            <w:vAlign w:val="bottom"/>
          </w:tcPr>
          <w:p w:rsidR="00FD06F3" w:rsidRDefault="00FD06F3">
            <w:pPr>
              <w:widowControl w:val="0"/>
              <w:spacing w:line="235" w:lineRule="auto"/>
              <w:ind w:left="-108" w:right="-108"/>
              <w:jc w:val="center"/>
              <w:rPr>
                <w:sz w:val="16"/>
                <w:szCs w:val="16"/>
              </w:rPr>
            </w:pPr>
          </w:p>
        </w:tc>
        <w:tc>
          <w:tcPr>
            <w:tcW w:w="1701" w:type="dxa"/>
            <w:vAlign w:val="bottom"/>
          </w:tcPr>
          <w:p w:rsidR="00FD06F3" w:rsidRDefault="0054425B">
            <w:pPr>
              <w:pStyle w:val="Tabletext"/>
              <w:widowControl w:val="0"/>
              <w:tabs>
                <w:tab w:val="decimal" w:pos="1247"/>
              </w:tabs>
              <w:spacing w:line="235" w:lineRule="auto"/>
              <w:ind w:right="130"/>
              <w:jc w:val="left"/>
              <w:rPr>
                <w:sz w:val="16"/>
                <w:szCs w:val="16"/>
              </w:rPr>
            </w:pPr>
            <w:r>
              <w:rPr>
                <w:sz w:val="16"/>
                <w:szCs w:val="16"/>
              </w:rPr>
              <w:t>(11 304)</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7 754</w:t>
            </w:r>
          </w:p>
        </w:tc>
      </w:tr>
      <w:tr w:rsidR="00FD06F3">
        <w:trPr>
          <w:trHeight w:val="23"/>
          <w:jc w:val="center"/>
        </w:trPr>
        <w:tc>
          <w:tcPr>
            <w:tcW w:w="5385" w:type="dxa"/>
            <w:vAlign w:val="bottom"/>
          </w:tcPr>
          <w:p w:rsidR="00FD06F3" w:rsidRDefault="0054425B">
            <w:pPr>
              <w:pStyle w:val="Tabletext"/>
              <w:widowControl w:val="0"/>
              <w:spacing w:line="235" w:lineRule="auto"/>
              <w:ind w:left="5" w:right="-108" w:hanging="113"/>
              <w:jc w:val="left"/>
              <w:rPr>
                <w:b/>
                <w:bCs/>
                <w:sz w:val="16"/>
                <w:szCs w:val="16"/>
              </w:rPr>
            </w:pPr>
            <w:r>
              <w:rPr>
                <w:b/>
                <w:bCs/>
                <w:sz w:val="16"/>
                <w:szCs w:val="16"/>
              </w:rPr>
              <w:t>Операционная прибыль до изменения оборотного капитала</w:t>
            </w:r>
          </w:p>
        </w:tc>
        <w:tc>
          <w:tcPr>
            <w:tcW w:w="851" w:type="dxa"/>
            <w:vAlign w:val="bottom"/>
          </w:tcPr>
          <w:p w:rsidR="00FD06F3" w:rsidRDefault="00FD06F3">
            <w:pPr>
              <w:widowControl w:val="0"/>
              <w:spacing w:line="235" w:lineRule="auto"/>
              <w:ind w:left="-108" w:right="-108"/>
              <w:jc w:val="center"/>
              <w:rPr>
                <w:b/>
                <w:bCs/>
                <w:sz w:val="16"/>
                <w:szCs w:val="16"/>
              </w:rPr>
            </w:pPr>
          </w:p>
        </w:tc>
        <w:tc>
          <w:tcPr>
            <w:tcW w:w="1701" w:type="dxa"/>
            <w:tcBorders>
              <w:top w:val="single" w:sz="6" w:space="0" w:color="auto"/>
            </w:tcBorders>
            <w:vAlign w:val="bottom"/>
          </w:tcPr>
          <w:p w:rsidR="00FD06F3" w:rsidRDefault="0054425B">
            <w:pPr>
              <w:pStyle w:val="Tabletext"/>
              <w:widowControl w:val="0"/>
              <w:tabs>
                <w:tab w:val="decimal" w:pos="1247"/>
              </w:tabs>
              <w:spacing w:line="235" w:lineRule="auto"/>
              <w:ind w:right="130"/>
              <w:jc w:val="left"/>
              <w:rPr>
                <w:b/>
                <w:sz w:val="16"/>
                <w:szCs w:val="16"/>
              </w:rPr>
            </w:pPr>
            <w:r>
              <w:rPr>
                <w:b/>
                <w:sz w:val="16"/>
                <w:szCs w:val="16"/>
              </w:rPr>
              <w:t>1 681 349</w:t>
            </w:r>
          </w:p>
        </w:tc>
        <w:tc>
          <w:tcPr>
            <w:tcW w:w="1701" w:type="dxa"/>
            <w:tcBorders>
              <w:top w:val="single" w:sz="6" w:space="0" w:color="auto"/>
            </w:tcBorders>
            <w:vAlign w:val="bottom"/>
          </w:tcPr>
          <w:p w:rsidR="00FD06F3" w:rsidRDefault="0054425B">
            <w:pPr>
              <w:widowControl w:val="0"/>
              <w:tabs>
                <w:tab w:val="decimal" w:pos="1247"/>
              </w:tabs>
              <w:spacing w:line="235" w:lineRule="auto"/>
              <w:ind w:right="130"/>
              <w:jc w:val="left"/>
              <w:rPr>
                <w:b/>
                <w:bCs/>
                <w:sz w:val="16"/>
                <w:szCs w:val="16"/>
              </w:rPr>
            </w:pPr>
            <w:r>
              <w:rPr>
                <w:b/>
                <w:bCs/>
                <w:sz w:val="16"/>
                <w:szCs w:val="16"/>
              </w:rPr>
              <w:t>671 360</w:t>
            </w:r>
          </w:p>
        </w:tc>
      </w:tr>
      <w:tr w:rsidR="00FD06F3">
        <w:trPr>
          <w:trHeight w:hRule="exact" w:val="113"/>
          <w:jc w:val="center"/>
        </w:trPr>
        <w:tc>
          <w:tcPr>
            <w:tcW w:w="5385" w:type="dxa"/>
            <w:vAlign w:val="bottom"/>
          </w:tcPr>
          <w:p w:rsidR="00FD06F3" w:rsidRDefault="0054425B">
            <w:pPr>
              <w:pStyle w:val="Tabletext"/>
              <w:widowControl w:val="0"/>
              <w:spacing w:line="235" w:lineRule="auto"/>
              <w:ind w:left="5" w:right="-108" w:hanging="113"/>
              <w:jc w:val="left"/>
              <w:rPr>
                <w:b/>
                <w:bCs/>
                <w:sz w:val="16"/>
                <w:szCs w:val="16"/>
              </w:rPr>
            </w:pPr>
            <w:r>
              <w:rPr>
                <w:b/>
                <w:bCs/>
                <w:sz w:val="16"/>
                <w:szCs w:val="16"/>
              </w:rPr>
              <w:t xml:space="preserve"> </w:t>
            </w:r>
          </w:p>
        </w:tc>
        <w:tc>
          <w:tcPr>
            <w:tcW w:w="851" w:type="dxa"/>
            <w:vAlign w:val="bottom"/>
          </w:tcPr>
          <w:p w:rsidR="00FD06F3" w:rsidRDefault="00FD06F3">
            <w:pPr>
              <w:widowControl w:val="0"/>
              <w:spacing w:line="235" w:lineRule="auto"/>
              <w:ind w:left="-108" w:right="-108"/>
              <w:jc w:val="center"/>
              <w:rPr>
                <w:b/>
                <w:bCs/>
                <w:sz w:val="16"/>
                <w:szCs w:val="16"/>
              </w:rPr>
            </w:pPr>
          </w:p>
        </w:tc>
        <w:tc>
          <w:tcPr>
            <w:tcW w:w="1701" w:type="dxa"/>
            <w:vAlign w:val="bottom"/>
          </w:tcPr>
          <w:p w:rsidR="00FD06F3" w:rsidRDefault="00FD06F3">
            <w:pPr>
              <w:widowControl w:val="0"/>
              <w:tabs>
                <w:tab w:val="decimal" w:pos="1247"/>
              </w:tabs>
              <w:spacing w:line="235" w:lineRule="auto"/>
              <w:ind w:right="130"/>
              <w:jc w:val="left"/>
              <w:rPr>
                <w:b/>
                <w:bCs/>
                <w:sz w:val="16"/>
                <w:szCs w:val="16"/>
              </w:rPr>
            </w:pPr>
          </w:p>
        </w:tc>
        <w:tc>
          <w:tcPr>
            <w:tcW w:w="1701" w:type="dxa"/>
            <w:vAlign w:val="bottom"/>
          </w:tcPr>
          <w:p w:rsidR="00FD06F3" w:rsidRDefault="00FD06F3">
            <w:pPr>
              <w:widowControl w:val="0"/>
              <w:tabs>
                <w:tab w:val="decimal" w:pos="1247"/>
              </w:tabs>
              <w:spacing w:line="235" w:lineRule="auto"/>
              <w:ind w:right="130"/>
              <w:jc w:val="left"/>
              <w:rPr>
                <w:b/>
                <w:bCs/>
                <w:sz w:val="16"/>
                <w:szCs w:val="16"/>
              </w:rPr>
            </w:pP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i/>
                <w:sz w:val="16"/>
                <w:szCs w:val="16"/>
              </w:rPr>
            </w:pPr>
            <w:r>
              <w:rPr>
                <w:i/>
                <w:sz w:val="16"/>
                <w:szCs w:val="16"/>
              </w:rPr>
              <w:t>Изменения в оборотном капитале</w:t>
            </w:r>
          </w:p>
        </w:tc>
        <w:tc>
          <w:tcPr>
            <w:tcW w:w="851" w:type="dxa"/>
            <w:vAlign w:val="bottom"/>
          </w:tcPr>
          <w:p w:rsidR="00FD06F3" w:rsidRDefault="00FD06F3">
            <w:pPr>
              <w:widowControl w:val="0"/>
              <w:spacing w:line="235" w:lineRule="auto"/>
              <w:ind w:left="-108" w:right="-108"/>
              <w:jc w:val="center"/>
              <w:rPr>
                <w:sz w:val="16"/>
                <w:szCs w:val="16"/>
              </w:rPr>
            </w:pPr>
          </w:p>
        </w:tc>
        <w:tc>
          <w:tcPr>
            <w:tcW w:w="1701" w:type="dxa"/>
            <w:vAlign w:val="bottom"/>
          </w:tcPr>
          <w:p w:rsidR="00FD06F3" w:rsidRDefault="00FD06F3">
            <w:pPr>
              <w:pStyle w:val="Tabletext"/>
              <w:widowControl w:val="0"/>
              <w:tabs>
                <w:tab w:val="decimal" w:pos="1247"/>
              </w:tabs>
              <w:spacing w:line="235" w:lineRule="auto"/>
              <w:ind w:right="130"/>
              <w:jc w:val="left"/>
              <w:rPr>
                <w:sz w:val="16"/>
                <w:szCs w:val="16"/>
              </w:rPr>
            </w:pPr>
          </w:p>
        </w:tc>
        <w:tc>
          <w:tcPr>
            <w:tcW w:w="1701" w:type="dxa"/>
            <w:vAlign w:val="bottom"/>
          </w:tcPr>
          <w:p w:rsidR="00FD06F3" w:rsidRDefault="00FD06F3">
            <w:pPr>
              <w:pStyle w:val="Tabletext"/>
              <w:widowControl w:val="0"/>
              <w:tabs>
                <w:tab w:val="decimal" w:pos="1247"/>
              </w:tabs>
              <w:spacing w:line="235" w:lineRule="auto"/>
              <w:ind w:right="130"/>
              <w:jc w:val="left"/>
              <w:rPr>
                <w:sz w:val="16"/>
                <w:szCs w:val="16"/>
              </w:rPr>
            </w:pP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Торговая и прочая дебиторская задолженность</w:t>
            </w:r>
          </w:p>
        </w:tc>
        <w:tc>
          <w:tcPr>
            <w:tcW w:w="851" w:type="dxa"/>
            <w:vAlign w:val="bottom"/>
          </w:tcPr>
          <w:p w:rsidR="00FD06F3" w:rsidRDefault="00FD06F3">
            <w:pPr>
              <w:widowControl w:val="0"/>
              <w:spacing w:line="235" w:lineRule="auto"/>
              <w:ind w:left="-108" w:right="-108"/>
              <w:jc w:val="center"/>
              <w:rPr>
                <w:sz w:val="16"/>
                <w:szCs w:val="16"/>
              </w:rPr>
            </w:pP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(517 070)</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 xml:space="preserve">384 </w:t>
            </w:r>
            <w:r>
              <w:rPr>
                <w:sz w:val="16"/>
                <w:szCs w:val="16"/>
              </w:rPr>
              <w:t>653</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Запасы</w:t>
            </w:r>
          </w:p>
        </w:tc>
        <w:tc>
          <w:tcPr>
            <w:tcW w:w="851" w:type="dxa"/>
            <w:vAlign w:val="bottom"/>
          </w:tcPr>
          <w:p w:rsidR="00FD06F3" w:rsidRDefault="00FD06F3">
            <w:pPr>
              <w:widowControl w:val="0"/>
              <w:spacing w:line="235" w:lineRule="auto"/>
              <w:ind w:left="-108" w:right="-108"/>
              <w:jc w:val="center"/>
              <w:rPr>
                <w:sz w:val="16"/>
                <w:szCs w:val="16"/>
              </w:rPr>
            </w:pP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239 525</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(12 890)</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 xml:space="preserve">Торговая и прочая кредиторская задолженность </w:t>
            </w:r>
          </w:p>
        </w:tc>
        <w:tc>
          <w:tcPr>
            <w:tcW w:w="851" w:type="dxa"/>
            <w:vAlign w:val="bottom"/>
          </w:tcPr>
          <w:p w:rsidR="00FD06F3" w:rsidRDefault="00FD06F3">
            <w:pPr>
              <w:widowControl w:val="0"/>
              <w:spacing w:line="235" w:lineRule="auto"/>
              <w:ind w:left="-108" w:right="-108"/>
              <w:jc w:val="center"/>
              <w:rPr>
                <w:i/>
                <w:iCs/>
                <w:sz w:val="16"/>
                <w:szCs w:val="16"/>
              </w:rPr>
            </w:pP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(872 634)</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(689 479)</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Текущие прочие налоговые обязательства</w:t>
            </w:r>
          </w:p>
        </w:tc>
        <w:tc>
          <w:tcPr>
            <w:tcW w:w="851" w:type="dxa"/>
            <w:vAlign w:val="bottom"/>
          </w:tcPr>
          <w:p w:rsidR="00FD06F3" w:rsidRDefault="00FD06F3">
            <w:pPr>
              <w:widowControl w:val="0"/>
              <w:spacing w:line="235" w:lineRule="auto"/>
              <w:ind w:left="-108" w:right="-108"/>
              <w:jc w:val="center"/>
              <w:rPr>
                <w:i/>
                <w:iCs/>
                <w:sz w:val="16"/>
                <w:szCs w:val="16"/>
              </w:rPr>
            </w:pPr>
          </w:p>
        </w:tc>
        <w:tc>
          <w:tcPr>
            <w:tcW w:w="1701" w:type="dxa"/>
            <w:tcBorders>
              <w:bottom w:val="single" w:sz="6" w:space="0" w:color="auto"/>
            </w:tcBorders>
            <w:vAlign w:val="bottom"/>
          </w:tcPr>
          <w:p w:rsidR="00FD06F3" w:rsidRDefault="0054425B">
            <w:pPr>
              <w:widowControl w:val="0"/>
              <w:tabs>
                <w:tab w:val="decimal" w:pos="1247"/>
              </w:tabs>
              <w:spacing w:line="235" w:lineRule="auto"/>
              <w:ind w:right="130"/>
              <w:jc w:val="left"/>
              <w:rPr>
                <w:sz w:val="16"/>
                <w:szCs w:val="16"/>
              </w:rPr>
            </w:pPr>
            <w:r>
              <w:rPr>
                <w:sz w:val="16"/>
                <w:szCs w:val="16"/>
              </w:rPr>
              <w:t>108 934</w:t>
            </w:r>
          </w:p>
        </w:tc>
        <w:tc>
          <w:tcPr>
            <w:tcW w:w="1701" w:type="dxa"/>
            <w:tcBorders>
              <w:bottom w:val="single" w:sz="6" w:space="0" w:color="auto"/>
            </w:tcBorders>
            <w:vAlign w:val="bottom"/>
          </w:tcPr>
          <w:p w:rsidR="00FD06F3" w:rsidRDefault="0054425B">
            <w:pPr>
              <w:widowControl w:val="0"/>
              <w:tabs>
                <w:tab w:val="decimal" w:pos="1247"/>
              </w:tabs>
              <w:spacing w:line="235" w:lineRule="auto"/>
              <w:ind w:right="130"/>
              <w:jc w:val="left"/>
              <w:rPr>
                <w:sz w:val="16"/>
                <w:szCs w:val="16"/>
              </w:rPr>
            </w:pPr>
            <w:r>
              <w:rPr>
                <w:sz w:val="16"/>
                <w:szCs w:val="16"/>
              </w:rPr>
              <w:t>(34 901)</w:t>
            </w:r>
          </w:p>
        </w:tc>
      </w:tr>
      <w:tr w:rsidR="00FD06F3">
        <w:trPr>
          <w:trHeight w:val="23"/>
          <w:jc w:val="center"/>
        </w:trPr>
        <w:tc>
          <w:tcPr>
            <w:tcW w:w="5385" w:type="dxa"/>
            <w:vAlign w:val="bottom"/>
          </w:tcPr>
          <w:p w:rsidR="00FD06F3" w:rsidRDefault="0054425B">
            <w:pPr>
              <w:pStyle w:val="Heading9"/>
              <w:keepNext w:val="0"/>
              <w:widowControl w:val="0"/>
              <w:spacing w:line="235" w:lineRule="auto"/>
              <w:ind w:left="5" w:right="-108" w:hanging="113"/>
              <w:jc w:val="left"/>
              <w:rPr>
                <w:rFonts w:ascii="Times New Roman" w:hAnsi="Times New Roman"/>
                <w:b/>
                <w:bCs/>
                <w:sz w:val="16"/>
                <w:szCs w:val="16"/>
              </w:rPr>
            </w:pPr>
            <w:r>
              <w:rPr>
                <w:rFonts w:ascii="Times New Roman" w:hAnsi="Times New Roman"/>
                <w:b/>
                <w:bCs/>
                <w:sz w:val="16"/>
                <w:szCs w:val="16"/>
              </w:rPr>
              <w:t>Поступление денежных средств по операционной деятельности</w:t>
            </w:r>
          </w:p>
        </w:tc>
        <w:tc>
          <w:tcPr>
            <w:tcW w:w="851" w:type="dxa"/>
            <w:vAlign w:val="bottom"/>
          </w:tcPr>
          <w:p w:rsidR="00FD06F3" w:rsidRDefault="00FD06F3">
            <w:pPr>
              <w:widowControl w:val="0"/>
              <w:spacing w:line="235" w:lineRule="auto"/>
              <w:ind w:left="-108" w:right="-108"/>
              <w:jc w:val="center"/>
              <w:rPr>
                <w:i/>
                <w:iCs/>
                <w:sz w:val="16"/>
                <w:szCs w:val="16"/>
              </w:rPr>
            </w:pPr>
          </w:p>
        </w:tc>
        <w:tc>
          <w:tcPr>
            <w:tcW w:w="1701" w:type="dxa"/>
            <w:tcBorders>
              <w:top w:val="single" w:sz="6" w:space="0" w:color="auto"/>
            </w:tcBorders>
            <w:vAlign w:val="bottom"/>
          </w:tcPr>
          <w:p w:rsidR="00FD06F3" w:rsidRDefault="0054425B">
            <w:pPr>
              <w:widowControl w:val="0"/>
              <w:tabs>
                <w:tab w:val="decimal" w:pos="1247"/>
              </w:tabs>
              <w:spacing w:line="235" w:lineRule="auto"/>
              <w:ind w:right="130"/>
              <w:jc w:val="left"/>
              <w:rPr>
                <w:b/>
                <w:sz w:val="16"/>
                <w:szCs w:val="16"/>
              </w:rPr>
            </w:pPr>
            <w:r>
              <w:rPr>
                <w:b/>
                <w:sz w:val="16"/>
                <w:szCs w:val="16"/>
              </w:rPr>
              <w:t>640 104</w:t>
            </w:r>
          </w:p>
        </w:tc>
        <w:tc>
          <w:tcPr>
            <w:tcW w:w="1701" w:type="dxa"/>
            <w:tcBorders>
              <w:top w:val="single" w:sz="6" w:space="0" w:color="auto"/>
            </w:tcBorders>
            <w:vAlign w:val="bottom"/>
          </w:tcPr>
          <w:p w:rsidR="00FD06F3" w:rsidRDefault="0054425B">
            <w:pPr>
              <w:widowControl w:val="0"/>
              <w:tabs>
                <w:tab w:val="decimal" w:pos="1247"/>
              </w:tabs>
              <w:spacing w:line="235" w:lineRule="auto"/>
              <w:ind w:right="130"/>
              <w:jc w:val="left"/>
              <w:rPr>
                <w:b/>
                <w:bCs/>
                <w:sz w:val="16"/>
                <w:szCs w:val="16"/>
              </w:rPr>
            </w:pPr>
            <w:r>
              <w:rPr>
                <w:b/>
                <w:bCs/>
                <w:sz w:val="16"/>
                <w:szCs w:val="16"/>
              </w:rPr>
              <w:t>318 743</w:t>
            </w:r>
          </w:p>
        </w:tc>
      </w:tr>
      <w:tr w:rsidR="00FD06F3">
        <w:trPr>
          <w:trHeight w:hRule="exact" w:val="113"/>
          <w:jc w:val="center"/>
        </w:trPr>
        <w:tc>
          <w:tcPr>
            <w:tcW w:w="5385" w:type="dxa"/>
            <w:vAlign w:val="bottom"/>
          </w:tcPr>
          <w:p w:rsidR="00FD06F3" w:rsidRDefault="0054425B">
            <w:pPr>
              <w:pStyle w:val="Heading9"/>
              <w:keepNext w:val="0"/>
              <w:widowControl w:val="0"/>
              <w:spacing w:line="235" w:lineRule="auto"/>
              <w:ind w:left="5" w:right="-108" w:hanging="113"/>
              <w:jc w:val="left"/>
              <w:rPr>
                <w:rFonts w:ascii="Times New Roman" w:hAnsi="Times New Roman"/>
                <w:b/>
                <w:bCs/>
                <w:sz w:val="16"/>
                <w:szCs w:val="16"/>
              </w:rPr>
            </w:pPr>
            <w:r>
              <w:rPr>
                <w:rFonts w:ascii="Times New Roman" w:hAnsi="Times New Roman"/>
                <w:b/>
                <w:bCs/>
                <w:sz w:val="16"/>
                <w:szCs w:val="16"/>
              </w:rPr>
              <w:t xml:space="preserve"> </w:t>
            </w:r>
          </w:p>
        </w:tc>
        <w:tc>
          <w:tcPr>
            <w:tcW w:w="851" w:type="dxa"/>
            <w:vAlign w:val="bottom"/>
          </w:tcPr>
          <w:p w:rsidR="00FD06F3" w:rsidRDefault="00FD06F3">
            <w:pPr>
              <w:widowControl w:val="0"/>
              <w:spacing w:line="235" w:lineRule="auto"/>
              <w:ind w:left="-108" w:right="-108"/>
              <w:jc w:val="center"/>
              <w:rPr>
                <w:i/>
                <w:iCs/>
                <w:sz w:val="16"/>
                <w:szCs w:val="16"/>
              </w:rPr>
            </w:pPr>
          </w:p>
        </w:tc>
        <w:tc>
          <w:tcPr>
            <w:tcW w:w="1701" w:type="dxa"/>
            <w:vAlign w:val="bottom"/>
          </w:tcPr>
          <w:p w:rsidR="00FD06F3" w:rsidRDefault="00FD06F3">
            <w:pPr>
              <w:widowControl w:val="0"/>
              <w:tabs>
                <w:tab w:val="decimal" w:pos="1247"/>
              </w:tabs>
              <w:spacing w:line="235" w:lineRule="auto"/>
              <w:ind w:right="130"/>
              <w:jc w:val="left"/>
              <w:rPr>
                <w:b/>
                <w:bCs/>
                <w:sz w:val="16"/>
                <w:szCs w:val="16"/>
              </w:rPr>
            </w:pPr>
          </w:p>
        </w:tc>
        <w:tc>
          <w:tcPr>
            <w:tcW w:w="1701" w:type="dxa"/>
            <w:vAlign w:val="bottom"/>
          </w:tcPr>
          <w:p w:rsidR="00FD06F3" w:rsidRDefault="00FD06F3">
            <w:pPr>
              <w:widowControl w:val="0"/>
              <w:tabs>
                <w:tab w:val="decimal" w:pos="1247"/>
              </w:tabs>
              <w:spacing w:line="235" w:lineRule="auto"/>
              <w:ind w:right="130"/>
              <w:jc w:val="left"/>
              <w:rPr>
                <w:b/>
                <w:bCs/>
                <w:sz w:val="16"/>
                <w:szCs w:val="16"/>
              </w:rPr>
            </w:pPr>
          </w:p>
        </w:tc>
      </w:tr>
      <w:tr w:rsidR="00FD06F3">
        <w:trPr>
          <w:trHeight w:val="23"/>
          <w:jc w:val="center"/>
        </w:trPr>
        <w:tc>
          <w:tcPr>
            <w:tcW w:w="5385" w:type="dxa"/>
            <w:vAlign w:val="bottom"/>
          </w:tcPr>
          <w:p w:rsidR="00FD06F3" w:rsidRDefault="0054425B">
            <w:pPr>
              <w:pStyle w:val="Heading9"/>
              <w:keepNext w:val="0"/>
              <w:widowControl w:val="0"/>
              <w:spacing w:line="235" w:lineRule="auto"/>
              <w:ind w:left="5" w:right="-108" w:hanging="113"/>
              <w:jc w:val="left"/>
              <w:rPr>
                <w:rFonts w:ascii="Times New Roman" w:hAnsi="Times New Roman"/>
                <w:sz w:val="16"/>
                <w:szCs w:val="16"/>
              </w:rPr>
            </w:pPr>
            <w:r>
              <w:rPr>
                <w:rFonts w:ascii="Times New Roman" w:hAnsi="Times New Roman"/>
                <w:sz w:val="16"/>
                <w:szCs w:val="16"/>
              </w:rPr>
              <w:t xml:space="preserve">Уплаченный налог </w:t>
            </w:r>
            <w:r>
              <w:rPr>
                <w:rFonts w:ascii="Times New Roman" w:hAnsi="Times New Roman"/>
                <w:sz w:val="16"/>
                <w:szCs w:val="16"/>
              </w:rPr>
              <w:t>на прибыль</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12</w:t>
            </w:r>
          </w:p>
        </w:tc>
        <w:tc>
          <w:tcPr>
            <w:tcW w:w="1701" w:type="dxa"/>
            <w:tcBorders>
              <w:bottom w:val="single" w:sz="6" w:space="0" w:color="auto"/>
            </w:tcBorders>
            <w:vAlign w:val="bottom"/>
          </w:tcPr>
          <w:p w:rsidR="00FD06F3" w:rsidRDefault="0054425B">
            <w:pPr>
              <w:widowControl w:val="0"/>
              <w:tabs>
                <w:tab w:val="decimal" w:pos="1247"/>
              </w:tabs>
              <w:spacing w:line="235" w:lineRule="auto"/>
              <w:ind w:right="130"/>
              <w:jc w:val="left"/>
              <w:rPr>
                <w:sz w:val="16"/>
                <w:szCs w:val="16"/>
              </w:rPr>
            </w:pPr>
            <w:r>
              <w:rPr>
                <w:sz w:val="16"/>
                <w:szCs w:val="16"/>
              </w:rPr>
              <w:t>(257 718)</w:t>
            </w:r>
          </w:p>
        </w:tc>
        <w:tc>
          <w:tcPr>
            <w:tcW w:w="1701" w:type="dxa"/>
            <w:tcBorders>
              <w:bottom w:val="single" w:sz="6" w:space="0" w:color="auto"/>
            </w:tcBorders>
            <w:vAlign w:val="bottom"/>
          </w:tcPr>
          <w:p w:rsidR="00FD06F3" w:rsidRDefault="0054425B">
            <w:pPr>
              <w:widowControl w:val="0"/>
              <w:tabs>
                <w:tab w:val="decimal" w:pos="1247"/>
              </w:tabs>
              <w:spacing w:line="235" w:lineRule="auto"/>
              <w:ind w:right="130"/>
              <w:jc w:val="left"/>
              <w:rPr>
                <w:sz w:val="16"/>
                <w:szCs w:val="16"/>
              </w:rPr>
            </w:pPr>
            <w:r>
              <w:rPr>
                <w:sz w:val="16"/>
                <w:szCs w:val="16"/>
              </w:rPr>
              <w:t>(154 073)</w:t>
            </w:r>
          </w:p>
        </w:tc>
      </w:tr>
      <w:tr w:rsidR="00FD06F3">
        <w:trPr>
          <w:trHeight w:val="20"/>
          <w:jc w:val="center"/>
        </w:trPr>
        <w:tc>
          <w:tcPr>
            <w:tcW w:w="5385" w:type="dxa"/>
            <w:vAlign w:val="bottom"/>
          </w:tcPr>
          <w:p w:rsidR="00FD06F3" w:rsidRDefault="0054425B">
            <w:pPr>
              <w:pStyle w:val="Heading9"/>
              <w:keepNext w:val="0"/>
              <w:widowControl w:val="0"/>
              <w:spacing w:line="235" w:lineRule="auto"/>
              <w:ind w:left="5" w:right="-108" w:hanging="113"/>
              <w:jc w:val="left"/>
              <w:rPr>
                <w:rFonts w:ascii="Times New Roman" w:hAnsi="Times New Roman"/>
                <w:b/>
                <w:bCs/>
                <w:sz w:val="16"/>
                <w:szCs w:val="16"/>
              </w:rPr>
            </w:pPr>
            <w:r>
              <w:rPr>
                <w:rFonts w:ascii="Times New Roman" w:hAnsi="Times New Roman"/>
                <w:b/>
                <w:bCs/>
                <w:sz w:val="16"/>
                <w:szCs w:val="16"/>
              </w:rPr>
              <w:t>Чистое поступление денежных средств по операционной деятельности</w:t>
            </w:r>
          </w:p>
        </w:tc>
        <w:tc>
          <w:tcPr>
            <w:tcW w:w="851" w:type="dxa"/>
            <w:vAlign w:val="bottom"/>
          </w:tcPr>
          <w:p w:rsidR="00FD06F3" w:rsidRDefault="00FD06F3">
            <w:pPr>
              <w:widowControl w:val="0"/>
              <w:spacing w:line="235" w:lineRule="auto"/>
              <w:ind w:left="-108" w:right="-108"/>
              <w:jc w:val="center"/>
              <w:rPr>
                <w:i/>
                <w:iCs/>
                <w:sz w:val="16"/>
                <w:szCs w:val="16"/>
              </w:rPr>
            </w:pPr>
          </w:p>
        </w:tc>
        <w:tc>
          <w:tcPr>
            <w:tcW w:w="1701" w:type="dxa"/>
            <w:tcBorders>
              <w:top w:val="single" w:sz="6" w:space="0" w:color="auto"/>
              <w:bottom w:val="single" w:sz="6" w:space="0" w:color="auto"/>
            </w:tcBorders>
            <w:vAlign w:val="bottom"/>
          </w:tcPr>
          <w:p w:rsidR="00FD06F3" w:rsidRDefault="0054425B">
            <w:pPr>
              <w:widowControl w:val="0"/>
              <w:tabs>
                <w:tab w:val="decimal" w:pos="1247"/>
              </w:tabs>
              <w:spacing w:line="235" w:lineRule="auto"/>
              <w:ind w:right="130"/>
              <w:jc w:val="left"/>
              <w:rPr>
                <w:b/>
                <w:sz w:val="16"/>
                <w:szCs w:val="16"/>
              </w:rPr>
            </w:pPr>
            <w:r>
              <w:rPr>
                <w:b/>
                <w:sz w:val="16"/>
                <w:szCs w:val="16"/>
              </w:rPr>
              <w:t>382 386</w:t>
            </w:r>
          </w:p>
        </w:tc>
        <w:tc>
          <w:tcPr>
            <w:tcW w:w="1701" w:type="dxa"/>
            <w:tcBorders>
              <w:top w:val="single" w:sz="6" w:space="0" w:color="auto"/>
              <w:bottom w:val="single" w:sz="6" w:space="0" w:color="auto"/>
            </w:tcBorders>
            <w:vAlign w:val="bottom"/>
          </w:tcPr>
          <w:p w:rsidR="00FD06F3" w:rsidRDefault="0054425B">
            <w:pPr>
              <w:widowControl w:val="0"/>
              <w:tabs>
                <w:tab w:val="decimal" w:pos="1247"/>
              </w:tabs>
              <w:spacing w:line="235" w:lineRule="auto"/>
              <w:ind w:right="130"/>
              <w:jc w:val="left"/>
              <w:rPr>
                <w:b/>
                <w:bCs/>
                <w:sz w:val="16"/>
                <w:szCs w:val="16"/>
              </w:rPr>
            </w:pPr>
            <w:r>
              <w:rPr>
                <w:b/>
                <w:bCs/>
                <w:sz w:val="16"/>
                <w:szCs w:val="16"/>
              </w:rPr>
              <w:t>164 670</w:t>
            </w:r>
          </w:p>
        </w:tc>
      </w:tr>
      <w:tr w:rsidR="00FD06F3">
        <w:trPr>
          <w:trHeight w:val="20"/>
          <w:jc w:val="center"/>
        </w:trPr>
        <w:tc>
          <w:tcPr>
            <w:tcW w:w="5385" w:type="dxa"/>
            <w:vAlign w:val="bottom"/>
          </w:tcPr>
          <w:p w:rsidR="00FD06F3" w:rsidRDefault="0054425B">
            <w:pPr>
              <w:pStyle w:val="Heading9"/>
              <w:keepNext w:val="0"/>
              <w:widowControl w:val="0"/>
              <w:spacing w:line="235" w:lineRule="auto"/>
              <w:ind w:left="5" w:right="-108" w:hanging="113"/>
              <w:jc w:val="left"/>
              <w:rPr>
                <w:rFonts w:ascii="Times New Roman" w:hAnsi="Times New Roman"/>
                <w:b/>
                <w:bCs/>
                <w:sz w:val="16"/>
                <w:szCs w:val="16"/>
              </w:rPr>
            </w:pPr>
            <w:r>
              <w:rPr>
                <w:rFonts w:ascii="Times New Roman" w:hAnsi="Times New Roman"/>
                <w:b/>
                <w:bCs/>
                <w:sz w:val="16"/>
                <w:szCs w:val="16"/>
              </w:rPr>
              <w:t xml:space="preserve"> </w:t>
            </w:r>
          </w:p>
        </w:tc>
        <w:tc>
          <w:tcPr>
            <w:tcW w:w="851" w:type="dxa"/>
            <w:vAlign w:val="bottom"/>
          </w:tcPr>
          <w:p w:rsidR="00FD06F3" w:rsidRDefault="00FD06F3">
            <w:pPr>
              <w:widowControl w:val="0"/>
              <w:spacing w:line="235" w:lineRule="auto"/>
              <w:ind w:left="-108" w:right="-108"/>
              <w:jc w:val="center"/>
              <w:rPr>
                <w:i/>
                <w:iCs/>
                <w:sz w:val="16"/>
                <w:szCs w:val="16"/>
              </w:rPr>
            </w:pPr>
          </w:p>
        </w:tc>
        <w:tc>
          <w:tcPr>
            <w:tcW w:w="1701" w:type="dxa"/>
            <w:tcBorders>
              <w:top w:val="single" w:sz="6" w:space="0" w:color="auto"/>
            </w:tcBorders>
            <w:vAlign w:val="bottom"/>
          </w:tcPr>
          <w:p w:rsidR="00FD06F3" w:rsidRDefault="00FD06F3">
            <w:pPr>
              <w:widowControl w:val="0"/>
              <w:tabs>
                <w:tab w:val="decimal" w:pos="1247"/>
              </w:tabs>
              <w:spacing w:line="235" w:lineRule="auto"/>
              <w:ind w:right="130"/>
              <w:jc w:val="left"/>
              <w:rPr>
                <w:b/>
                <w:bCs/>
                <w:sz w:val="16"/>
                <w:szCs w:val="16"/>
              </w:rPr>
            </w:pPr>
          </w:p>
        </w:tc>
        <w:tc>
          <w:tcPr>
            <w:tcW w:w="1701" w:type="dxa"/>
            <w:tcBorders>
              <w:top w:val="single" w:sz="6" w:space="0" w:color="auto"/>
            </w:tcBorders>
            <w:vAlign w:val="bottom"/>
          </w:tcPr>
          <w:p w:rsidR="00FD06F3" w:rsidRDefault="00FD06F3">
            <w:pPr>
              <w:widowControl w:val="0"/>
              <w:tabs>
                <w:tab w:val="decimal" w:pos="1247"/>
              </w:tabs>
              <w:spacing w:line="235" w:lineRule="auto"/>
              <w:ind w:right="130"/>
              <w:jc w:val="left"/>
              <w:rPr>
                <w:b/>
                <w:bCs/>
                <w:sz w:val="16"/>
                <w:szCs w:val="16"/>
              </w:rPr>
            </w:pPr>
          </w:p>
        </w:tc>
      </w:tr>
      <w:tr w:rsidR="00FD06F3">
        <w:trPr>
          <w:trHeight w:val="20"/>
          <w:jc w:val="center"/>
        </w:trPr>
        <w:tc>
          <w:tcPr>
            <w:tcW w:w="5385" w:type="dxa"/>
            <w:vAlign w:val="bottom"/>
          </w:tcPr>
          <w:p w:rsidR="00FD06F3" w:rsidRDefault="0054425B">
            <w:pPr>
              <w:pStyle w:val="Heading9"/>
              <w:keepNext w:val="0"/>
              <w:widowControl w:val="0"/>
              <w:spacing w:line="235" w:lineRule="auto"/>
              <w:ind w:left="5" w:right="-108" w:hanging="113"/>
              <w:jc w:val="left"/>
              <w:rPr>
                <w:rFonts w:ascii="Times New Roman" w:hAnsi="Times New Roman"/>
                <w:b/>
                <w:bCs/>
                <w:sz w:val="16"/>
                <w:szCs w:val="16"/>
              </w:rPr>
            </w:pPr>
            <w:r>
              <w:rPr>
                <w:rFonts w:ascii="Times New Roman" w:hAnsi="Times New Roman"/>
                <w:b/>
                <w:bCs/>
                <w:sz w:val="16"/>
                <w:szCs w:val="16"/>
              </w:rPr>
              <w:t>Движение денежных средств по инвестиционной деятельности</w:t>
            </w:r>
          </w:p>
        </w:tc>
        <w:tc>
          <w:tcPr>
            <w:tcW w:w="851" w:type="dxa"/>
            <w:vAlign w:val="bottom"/>
          </w:tcPr>
          <w:p w:rsidR="00FD06F3" w:rsidRDefault="00FD06F3">
            <w:pPr>
              <w:widowControl w:val="0"/>
              <w:spacing w:line="235" w:lineRule="auto"/>
              <w:ind w:left="-108" w:right="-108"/>
              <w:jc w:val="center"/>
              <w:rPr>
                <w:i/>
                <w:iCs/>
                <w:sz w:val="16"/>
                <w:szCs w:val="16"/>
              </w:rPr>
            </w:pPr>
          </w:p>
        </w:tc>
        <w:tc>
          <w:tcPr>
            <w:tcW w:w="1701" w:type="dxa"/>
            <w:vAlign w:val="bottom"/>
          </w:tcPr>
          <w:p w:rsidR="00FD06F3" w:rsidRDefault="00FD06F3">
            <w:pPr>
              <w:pStyle w:val="Tabletext"/>
              <w:widowControl w:val="0"/>
              <w:tabs>
                <w:tab w:val="decimal" w:pos="1247"/>
              </w:tabs>
              <w:spacing w:line="235" w:lineRule="auto"/>
              <w:ind w:right="130"/>
              <w:jc w:val="left"/>
              <w:rPr>
                <w:sz w:val="16"/>
                <w:szCs w:val="16"/>
              </w:rPr>
            </w:pPr>
          </w:p>
        </w:tc>
        <w:tc>
          <w:tcPr>
            <w:tcW w:w="1701" w:type="dxa"/>
            <w:vAlign w:val="bottom"/>
          </w:tcPr>
          <w:p w:rsidR="00FD06F3" w:rsidRDefault="00FD06F3">
            <w:pPr>
              <w:pStyle w:val="Tabletext"/>
              <w:widowControl w:val="0"/>
              <w:tabs>
                <w:tab w:val="decimal" w:pos="1247"/>
              </w:tabs>
              <w:spacing w:line="235" w:lineRule="auto"/>
              <w:ind w:right="130"/>
              <w:jc w:val="left"/>
              <w:rPr>
                <w:sz w:val="16"/>
                <w:szCs w:val="16"/>
              </w:rPr>
            </w:pPr>
          </w:p>
        </w:tc>
      </w:tr>
      <w:tr w:rsidR="00FD06F3">
        <w:trPr>
          <w:trHeight w:val="20"/>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Приобретение основных средств, включая авансы</w:t>
            </w:r>
            <w:r>
              <w:rPr>
                <w:sz w:val="16"/>
                <w:szCs w:val="16"/>
              </w:rPr>
              <w:t xml:space="preserve"> выданные за основные средства</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6</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(88 788)</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(84 610)</w:t>
            </w:r>
          </w:p>
        </w:tc>
      </w:tr>
      <w:tr w:rsidR="00FD06F3">
        <w:trPr>
          <w:trHeight w:val="20"/>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Приобретение прочих финансовых активов связанной стороны</w:t>
            </w:r>
          </w:p>
        </w:tc>
        <w:tc>
          <w:tcPr>
            <w:tcW w:w="851" w:type="dxa"/>
            <w:vAlign w:val="bottom"/>
          </w:tcPr>
          <w:p w:rsidR="00FD06F3" w:rsidRDefault="00FD06F3">
            <w:pPr>
              <w:widowControl w:val="0"/>
              <w:spacing w:line="235" w:lineRule="auto"/>
              <w:ind w:left="-108" w:right="-108"/>
              <w:jc w:val="center"/>
              <w:rPr>
                <w:sz w:val="16"/>
                <w:szCs w:val="16"/>
              </w:rPr>
            </w:pP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(85 672)</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w:t>
            </w:r>
          </w:p>
        </w:tc>
      </w:tr>
      <w:tr w:rsidR="00FD06F3">
        <w:trPr>
          <w:trHeight w:val="20"/>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Процентный доход, полученный по прочим финансовым активам</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18.4</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25 707</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26 640</w:t>
            </w:r>
          </w:p>
        </w:tc>
      </w:tr>
      <w:tr w:rsidR="00FD06F3">
        <w:trPr>
          <w:trHeight w:val="20"/>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Погашение финансовых активов</w:t>
            </w:r>
          </w:p>
        </w:tc>
        <w:tc>
          <w:tcPr>
            <w:tcW w:w="851" w:type="dxa"/>
            <w:vAlign w:val="bottom"/>
          </w:tcPr>
          <w:p w:rsidR="00FD06F3" w:rsidRDefault="00FD06F3">
            <w:pPr>
              <w:widowControl w:val="0"/>
              <w:spacing w:line="235" w:lineRule="auto"/>
              <w:ind w:left="-108" w:right="-108"/>
              <w:jc w:val="center"/>
              <w:rPr>
                <w:sz w:val="16"/>
                <w:szCs w:val="16"/>
              </w:rPr>
            </w:pP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338 729</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w:t>
            </w:r>
          </w:p>
        </w:tc>
      </w:tr>
      <w:tr w:rsidR="00FD06F3">
        <w:trPr>
          <w:trHeight w:val="20"/>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 xml:space="preserve">Приобретение </w:t>
            </w:r>
            <w:r>
              <w:rPr>
                <w:sz w:val="16"/>
                <w:szCs w:val="16"/>
              </w:rPr>
              <w:t>нематериальных активов</w:t>
            </w:r>
          </w:p>
        </w:tc>
        <w:tc>
          <w:tcPr>
            <w:tcW w:w="851" w:type="dxa"/>
            <w:vAlign w:val="bottom"/>
          </w:tcPr>
          <w:p w:rsidR="00FD06F3" w:rsidRDefault="00FD06F3">
            <w:pPr>
              <w:widowControl w:val="0"/>
              <w:spacing w:line="235" w:lineRule="auto"/>
              <w:ind w:left="-108" w:right="-108"/>
              <w:jc w:val="center"/>
              <w:rPr>
                <w:sz w:val="16"/>
                <w:szCs w:val="16"/>
              </w:rPr>
            </w:pP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(34 003)</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(6 394)</w:t>
            </w:r>
          </w:p>
        </w:tc>
      </w:tr>
      <w:tr w:rsidR="00FD06F3">
        <w:trPr>
          <w:trHeight w:val="20"/>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Поступления от реализации основных средств</w:t>
            </w:r>
          </w:p>
        </w:tc>
        <w:tc>
          <w:tcPr>
            <w:tcW w:w="851" w:type="dxa"/>
            <w:vAlign w:val="bottom"/>
          </w:tcPr>
          <w:p w:rsidR="00FD06F3" w:rsidRDefault="00FD06F3">
            <w:pPr>
              <w:widowControl w:val="0"/>
              <w:spacing w:line="235" w:lineRule="auto"/>
              <w:ind w:left="-108" w:right="-108"/>
              <w:jc w:val="center"/>
              <w:rPr>
                <w:sz w:val="16"/>
                <w:szCs w:val="16"/>
              </w:rPr>
            </w:pP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12 759</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28 048</w:t>
            </w:r>
          </w:p>
        </w:tc>
      </w:tr>
      <w:tr w:rsidR="00FD06F3">
        <w:trPr>
          <w:trHeight w:val="20"/>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Поступления от реализации нематериальных активов</w:t>
            </w:r>
          </w:p>
        </w:tc>
        <w:tc>
          <w:tcPr>
            <w:tcW w:w="851" w:type="dxa"/>
            <w:vAlign w:val="bottom"/>
          </w:tcPr>
          <w:p w:rsidR="00FD06F3" w:rsidRDefault="00FD06F3">
            <w:pPr>
              <w:widowControl w:val="0"/>
              <w:spacing w:line="235" w:lineRule="auto"/>
              <w:ind w:left="-108" w:right="-108"/>
              <w:jc w:val="center"/>
              <w:rPr>
                <w:sz w:val="16"/>
                <w:szCs w:val="16"/>
              </w:rPr>
            </w:pP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1 000</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w:t>
            </w:r>
          </w:p>
        </w:tc>
      </w:tr>
      <w:tr w:rsidR="00FD06F3">
        <w:trPr>
          <w:trHeight w:val="20"/>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Займы связанным сторонам, нетто</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18.5</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239 500</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848 240</w:t>
            </w:r>
          </w:p>
        </w:tc>
      </w:tr>
      <w:tr w:rsidR="00FD06F3">
        <w:trPr>
          <w:trHeight w:val="20"/>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 xml:space="preserve">Проценты, полученные по займам связанных </w:t>
            </w:r>
            <w:r>
              <w:rPr>
                <w:sz w:val="16"/>
                <w:szCs w:val="16"/>
              </w:rPr>
              <w:t>сторон</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18.5</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49 907</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120 927</w:t>
            </w:r>
          </w:p>
        </w:tc>
      </w:tr>
      <w:tr w:rsidR="00FD06F3">
        <w:trPr>
          <w:trHeight w:val="20"/>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Приобретения доли участия в ассоциированной компании</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5, 18.12</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(1 000 000)</w:t>
            </w:r>
          </w:p>
        </w:tc>
      </w:tr>
      <w:tr w:rsidR="00FD06F3">
        <w:trPr>
          <w:trHeight w:val="20"/>
          <w:jc w:val="center"/>
        </w:trPr>
        <w:tc>
          <w:tcPr>
            <w:tcW w:w="5385" w:type="dxa"/>
            <w:vAlign w:val="bottom"/>
          </w:tcPr>
          <w:p w:rsidR="00FD06F3" w:rsidRDefault="0054425B">
            <w:pPr>
              <w:pStyle w:val="Heading9"/>
              <w:keepNext w:val="0"/>
              <w:widowControl w:val="0"/>
              <w:spacing w:line="235" w:lineRule="auto"/>
              <w:ind w:left="5" w:right="-108" w:hanging="113"/>
              <w:jc w:val="left"/>
              <w:rPr>
                <w:rFonts w:ascii="Times New Roman" w:hAnsi="Times New Roman"/>
                <w:b/>
                <w:bCs/>
                <w:sz w:val="16"/>
                <w:szCs w:val="16"/>
              </w:rPr>
            </w:pPr>
            <w:r>
              <w:rPr>
                <w:rFonts w:ascii="Times New Roman" w:hAnsi="Times New Roman"/>
                <w:b/>
                <w:bCs/>
                <w:sz w:val="16"/>
                <w:szCs w:val="16"/>
              </w:rPr>
              <w:t>Чистое поступление/(расходование) денежных средств по инвестиционной деятельности</w:t>
            </w:r>
          </w:p>
        </w:tc>
        <w:tc>
          <w:tcPr>
            <w:tcW w:w="851" w:type="dxa"/>
            <w:vAlign w:val="bottom"/>
          </w:tcPr>
          <w:p w:rsidR="00FD06F3" w:rsidRDefault="00FD06F3">
            <w:pPr>
              <w:widowControl w:val="0"/>
              <w:spacing w:line="235" w:lineRule="auto"/>
              <w:ind w:left="-108" w:right="-108"/>
              <w:jc w:val="center"/>
              <w:rPr>
                <w:i/>
                <w:iCs/>
                <w:sz w:val="16"/>
                <w:szCs w:val="16"/>
              </w:rPr>
            </w:pPr>
          </w:p>
        </w:tc>
        <w:tc>
          <w:tcPr>
            <w:tcW w:w="1701" w:type="dxa"/>
            <w:tcBorders>
              <w:top w:val="single" w:sz="6" w:space="0" w:color="auto"/>
              <w:bottom w:val="single" w:sz="6" w:space="0" w:color="auto"/>
            </w:tcBorders>
            <w:vAlign w:val="bottom"/>
          </w:tcPr>
          <w:p w:rsidR="00FD06F3" w:rsidRDefault="0054425B">
            <w:pPr>
              <w:pStyle w:val="Tabletext"/>
              <w:widowControl w:val="0"/>
              <w:tabs>
                <w:tab w:val="decimal" w:pos="1247"/>
              </w:tabs>
              <w:spacing w:line="235" w:lineRule="auto"/>
              <w:ind w:right="130"/>
              <w:jc w:val="left"/>
              <w:rPr>
                <w:b/>
                <w:bCs/>
                <w:sz w:val="16"/>
                <w:szCs w:val="16"/>
              </w:rPr>
            </w:pPr>
            <w:r>
              <w:rPr>
                <w:b/>
                <w:bCs/>
                <w:sz w:val="16"/>
                <w:szCs w:val="16"/>
              </w:rPr>
              <w:t>459 139</w:t>
            </w:r>
          </w:p>
        </w:tc>
        <w:tc>
          <w:tcPr>
            <w:tcW w:w="1701" w:type="dxa"/>
            <w:tcBorders>
              <w:top w:val="single" w:sz="6" w:space="0" w:color="auto"/>
              <w:bottom w:val="single" w:sz="6" w:space="0" w:color="auto"/>
            </w:tcBorders>
            <w:vAlign w:val="bottom"/>
          </w:tcPr>
          <w:p w:rsidR="00FD06F3" w:rsidRDefault="0054425B">
            <w:pPr>
              <w:pStyle w:val="Tabletext"/>
              <w:widowControl w:val="0"/>
              <w:tabs>
                <w:tab w:val="decimal" w:pos="1247"/>
              </w:tabs>
              <w:spacing w:line="235" w:lineRule="auto"/>
              <w:ind w:right="130"/>
              <w:jc w:val="left"/>
              <w:rPr>
                <w:b/>
                <w:bCs/>
                <w:sz w:val="16"/>
                <w:szCs w:val="16"/>
              </w:rPr>
            </w:pPr>
            <w:r>
              <w:rPr>
                <w:b/>
                <w:bCs/>
                <w:sz w:val="16"/>
                <w:szCs w:val="16"/>
              </w:rPr>
              <w:t>(67 149)</w:t>
            </w:r>
          </w:p>
        </w:tc>
      </w:tr>
      <w:tr w:rsidR="00FD06F3">
        <w:trPr>
          <w:trHeight w:val="20"/>
          <w:jc w:val="center"/>
        </w:trPr>
        <w:tc>
          <w:tcPr>
            <w:tcW w:w="5385" w:type="dxa"/>
            <w:vAlign w:val="bottom"/>
          </w:tcPr>
          <w:p w:rsidR="00FD06F3" w:rsidRDefault="0054425B">
            <w:pPr>
              <w:pStyle w:val="Heading9"/>
              <w:keepNext w:val="0"/>
              <w:widowControl w:val="0"/>
              <w:spacing w:line="235" w:lineRule="auto"/>
              <w:ind w:left="5" w:right="-108" w:hanging="113"/>
              <w:jc w:val="left"/>
              <w:rPr>
                <w:rFonts w:ascii="Times New Roman" w:hAnsi="Times New Roman"/>
                <w:b/>
                <w:bCs/>
                <w:sz w:val="16"/>
                <w:szCs w:val="16"/>
              </w:rPr>
            </w:pPr>
            <w:r>
              <w:rPr>
                <w:rFonts w:ascii="Times New Roman" w:hAnsi="Times New Roman"/>
                <w:b/>
                <w:bCs/>
                <w:sz w:val="16"/>
                <w:szCs w:val="16"/>
              </w:rPr>
              <w:t xml:space="preserve"> </w:t>
            </w:r>
          </w:p>
        </w:tc>
        <w:tc>
          <w:tcPr>
            <w:tcW w:w="851" w:type="dxa"/>
            <w:vAlign w:val="bottom"/>
          </w:tcPr>
          <w:p w:rsidR="00FD06F3" w:rsidRDefault="00FD06F3">
            <w:pPr>
              <w:widowControl w:val="0"/>
              <w:spacing w:line="235" w:lineRule="auto"/>
              <w:ind w:left="-108" w:right="-108"/>
              <w:jc w:val="center"/>
              <w:rPr>
                <w:i/>
                <w:iCs/>
                <w:sz w:val="16"/>
                <w:szCs w:val="16"/>
              </w:rPr>
            </w:pPr>
          </w:p>
        </w:tc>
        <w:tc>
          <w:tcPr>
            <w:tcW w:w="1701" w:type="dxa"/>
            <w:tcBorders>
              <w:top w:val="single" w:sz="6" w:space="0" w:color="auto"/>
            </w:tcBorders>
            <w:vAlign w:val="bottom"/>
          </w:tcPr>
          <w:p w:rsidR="00FD06F3" w:rsidRDefault="00FD06F3">
            <w:pPr>
              <w:pStyle w:val="Tabletext"/>
              <w:widowControl w:val="0"/>
              <w:tabs>
                <w:tab w:val="decimal" w:pos="1247"/>
              </w:tabs>
              <w:spacing w:line="235" w:lineRule="auto"/>
              <w:ind w:right="130"/>
              <w:jc w:val="left"/>
              <w:rPr>
                <w:b/>
                <w:bCs/>
                <w:sz w:val="16"/>
                <w:szCs w:val="16"/>
              </w:rPr>
            </w:pPr>
          </w:p>
        </w:tc>
        <w:tc>
          <w:tcPr>
            <w:tcW w:w="1701" w:type="dxa"/>
            <w:tcBorders>
              <w:top w:val="single" w:sz="6" w:space="0" w:color="auto"/>
            </w:tcBorders>
            <w:vAlign w:val="bottom"/>
          </w:tcPr>
          <w:p w:rsidR="00FD06F3" w:rsidRDefault="00FD06F3">
            <w:pPr>
              <w:pStyle w:val="Tabletext"/>
              <w:widowControl w:val="0"/>
              <w:tabs>
                <w:tab w:val="decimal" w:pos="1247"/>
              </w:tabs>
              <w:spacing w:line="235" w:lineRule="auto"/>
              <w:ind w:right="130"/>
              <w:jc w:val="left"/>
              <w:rPr>
                <w:b/>
                <w:bCs/>
                <w:sz w:val="16"/>
                <w:szCs w:val="16"/>
              </w:rPr>
            </w:pPr>
          </w:p>
        </w:tc>
      </w:tr>
      <w:tr w:rsidR="00FD06F3">
        <w:trPr>
          <w:trHeight w:val="20"/>
          <w:jc w:val="center"/>
        </w:trPr>
        <w:tc>
          <w:tcPr>
            <w:tcW w:w="5385" w:type="dxa"/>
            <w:vAlign w:val="bottom"/>
          </w:tcPr>
          <w:p w:rsidR="00FD06F3" w:rsidRDefault="0054425B">
            <w:pPr>
              <w:pStyle w:val="Heading9"/>
              <w:keepNext w:val="0"/>
              <w:widowControl w:val="0"/>
              <w:spacing w:line="235" w:lineRule="auto"/>
              <w:ind w:left="5" w:right="-108" w:hanging="113"/>
              <w:jc w:val="left"/>
              <w:rPr>
                <w:rFonts w:ascii="Times New Roman" w:hAnsi="Times New Roman"/>
                <w:b/>
                <w:bCs/>
                <w:sz w:val="16"/>
                <w:szCs w:val="16"/>
              </w:rPr>
            </w:pPr>
            <w:r>
              <w:rPr>
                <w:rFonts w:ascii="Times New Roman" w:hAnsi="Times New Roman"/>
                <w:b/>
                <w:bCs/>
                <w:sz w:val="16"/>
                <w:szCs w:val="16"/>
              </w:rPr>
              <w:t xml:space="preserve">Движение денежных средств по финансовой </w:t>
            </w:r>
            <w:r>
              <w:rPr>
                <w:rFonts w:ascii="Times New Roman" w:hAnsi="Times New Roman"/>
                <w:b/>
                <w:bCs/>
                <w:sz w:val="16"/>
                <w:szCs w:val="16"/>
              </w:rPr>
              <w:t>деятельности</w:t>
            </w:r>
          </w:p>
        </w:tc>
        <w:tc>
          <w:tcPr>
            <w:tcW w:w="851" w:type="dxa"/>
            <w:vAlign w:val="bottom"/>
          </w:tcPr>
          <w:p w:rsidR="00FD06F3" w:rsidRDefault="00FD06F3">
            <w:pPr>
              <w:widowControl w:val="0"/>
              <w:spacing w:line="235" w:lineRule="auto"/>
              <w:ind w:left="-108" w:right="-108"/>
              <w:jc w:val="center"/>
              <w:rPr>
                <w:sz w:val="16"/>
                <w:szCs w:val="16"/>
              </w:rPr>
            </w:pPr>
          </w:p>
        </w:tc>
        <w:tc>
          <w:tcPr>
            <w:tcW w:w="1701" w:type="dxa"/>
            <w:vAlign w:val="bottom"/>
          </w:tcPr>
          <w:p w:rsidR="00FD06F3" w:rsidRDefault="00FD06F3">
            <w:pPr>
              <w:pStyle w:val="Tabletext"/>
              <w:widowControl w:val="0"/>
              <w:tabs>
                <w:tab w:val="decimal" w:pos="1247"/>
              </w:tabs>
              <w:spacing w:line="235" w:lineRule="auto"/>
              <w:ind w:right="130"/>
              <w:jc w:val="left"/>
              <w:rPr>
                <w:sz w:val="16"/>
                <w:szCs w:val="16"/>
              </w:rPr>
            </w:pPr>
          </w:p>
        </w:tc>
        <w:tc>
          <w:tcPr>
            <w:tcW w:w="1701" w:type="dxa"/>
            <w:vAlign w:val="bottom"/>
          </w:tcPr>
          <w:p w:rsidR="00FD06F3" w:rsidRDefault="00FD06F3">
            <w:pPr>
              <w:pStyle w:val="Tabletext"/>
              <w:widowControl w:val="0"/>
              <w:tabs>
                <w:tab w:val="decimal" w:pos="1247"/>
              </w:tabs>
              <w:spacing w:line="235" w:lineRule="auto"/>
              <w:ind w:right="130"/>
              <w:jc w:val="left"/>
              <w:rPr>
                <w:sz w:val="16"/>
                <w:szCs w:val="16"/>
              </w:rPr>
            </w:pP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Проценты по банковским кредитам уплаченные</w:t>
            </w:r>
          </w:p>
        </w:tc>
        <w:tc>
          <w:tcPr>
            <w:tcW w:w="851" w:type="dxa"/>
            <w:vAlign w:val="bottom"/>
          </w:tcPr>
          <w:p w:rsidR="00FD06F3" w:rsidRDefault="00FD06F3">
            <w:pPr>
              <w:widowControl w:val="0"/>
              <w:spacing w:line="235" w:lineRule="auto"/>
              <w:ind w:left="-108" w:right="-108"/>
              <w:jc w:val="center"/>
              <w:rPr>
                <w:sz w:val="16"/>
                <w:szCs w:val="16"/>
              </w:rPr>
            </w:pP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(11 102)</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(11 991)</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Погашение банковских кредитов</w:t>
            </w:r>
          </w:p>
        </w:tc>
        <w:tc>
          <w:tcPr>
            <w:tcW w:w="851" w:type="dxa"/>
            <w:vAlign w:val="bottom"/>
          </w:tcPr>
          <w:p w:rsidR="00FD06F3" w:rsidRDefault="00FD06F3">
            <w:pPr>
              <w:widowControl w:val="0"/>
              <w:spacing w:line="235" w:lineRule="auto"/>
              <w:ind w:left="-108" w:right="-108"/>
              <w:jc w:val="center"/>
              <w:rPr>
                <w:sz w:val="16"/>
                <w:szCs w:val="16"/>
              </w:rPr>
            </w:pP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(24 928)</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Получение займов от связанных сторон</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18.1</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650</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26 620</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Погашение займов, выданных связанными сторонами</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18.1</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(800 000)</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 xml:space="preserve">Дивиденды </w:t>
            </w:r>
            <w:r>
              <w:rPr>
                <w:sz w:val="16"/>
                <w:szCs w:val="16"/>
              </w:rPr>
              <w:t>выплаченные</w:t>
            </w:r>
          </w:p>
        </w:tc>
        <w:tc>
          <w:tcPr>
            <w:tcW w:w="851" w:type="dxa"/>
            <w:vAlign w:val="bottom"/>
          </w:tcPr>
          <w:p w:rsidR="00FD06F3" w:rsidRDefault="00FD06F3">
            <w:pPr>
              <w:widowControl w:val="0"/>
              <w:spacing w:line="235" w:lineRule="auto"/>
              <w:ind w:left="-108" w:right="-108"/>
              <w:jc w:val="center"/>
              <w:rPr>
                <w:sz w:val="16"/>
                <w:szCs w:val="16"/>
              </w:rPr>
            </w:pP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(16 936)</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w:t>
            </w:r>
          </w:p>
        </w:tc>
      </w:tr>
      <w:tr w:rsidR="00FD06F3">
        <w:trPr>
          <w:trHeight w:val="23"/>
          <w:jc w:val="center"/>
        </w:trPr>
        <w:tc>
          <w:tcPr>
            <w:tcW w:w="5385" w:type="dxa"/>
            <w:vAlign w:val="bottom"/>
          </w:tcPr>
          <w:p w:rsidR="00FD06F3" w:rsidRDefault="0054425B">
            <w:pPr>
              <w:widowControl w:val="0"/>
              <w:spacing w:line="235" w:lineRule="auto"/>
              <w:ind w:left="5" w:right="-108" w:hanging="113"/>
              <w:jc w:val="left"/>
              <w:rPr>
                <w:sz w:val="16"/>
                <w:szCs w:val="16"/>
              </w:rPr>
            </w:pPr>
            <w:r>
              <w:rPr>
                <w:sz w:val="16"/>
                <w:szCs w:val="16"/>
              </w:rPr>
              <w:t>Проценты по займам, уплаченные связанным сторонам</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18.1</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(79 039)</w:t>
            </w:r>
          </w:p>
        </w:tc>
        <w:tc>
          <w:tcPr>
            <w:tcW w:w="1701" w:type="dxa"/>
            <w:vAlign w:val="bottom"/>
          </w:tcPr>
          <w:p w:rsidR="00FD06F3" w:rsidRDefault="0054425B">
            <w:pPr>
              <w:widowControl w:val="0"/>
              <w:tabs>
                <w:tab w:val="decimal" w:pos="1247"/>
              </w:tabs>
              <w:spacing w:line="235" w:lineRule="auto"/>
              <w:ind w:right="130"/>
              <w:jc w:val="left"/>
              <w:rPr>
                <w:sz w:val="16"/>
                <w:szCs w:val="16"/>
              </w:rPr>
            </w:pPr>
            <w:r>
              <w:rPr>
                <w:sz w:val="16"/>
                <w:szCs w:val="16"/>
              </w:rPr>
              <w:t>(164 970)</w:t>
            </w:r>
          </w:p>
        </w:tc>
      </w:tr>
      <w:tr w:rsidR="00FD06F3">
        <w:trPr>
          <w:trHeight w:val="23"/>
          <w:jc w:val="center"/>
        </w:trPr>
        <w:tc>
          <w:tcPr>
            <w:tcW w:w="5385" w:type="dxa"/>
            <w:vAlign w:val="bottom"/>
          </w:tcPr>
          <w:p w:rsidR="00FD06F3" w:rsidRDefault="0054425B">
            <w:pPr>
              <w:pStyle w:val="Heading9"/>
              <w:keepNext w:val="0"/>
              <w:widowControl w:val="0"/>
              <w:spacing w:line="235" w:lineRule="auto"/>
              <w:ind w:left="5" w:right="-108" w:hanging="113"/>
              <w:jc w:val="left"/>
              <w:rPr>
                <w:rFonts w:ascii="Times New Roman" w:hAnsi="Times New Roman"/>
                <w:b/>
                <w:bCs/>
                <w:sz w:val="16"/>
                <w:szCs w:val="16"/>
              </w:rPr>
            </w:pPr>
            <w:r>
              <w:rPr>
                <w:rFonts w:ascii="Times New Roman" w:hAnsi="Times New Roman"/>
                <w:b/>
                <w:bCs/>
                <w:sz w:val="16"/>
                <w:szCs w:val="16"/>
              </w:rPr>
              <w:t>Чистое расходование денежных средств по финансовой деятельности</w:t>
            </w:r>
          </w:p>
        </w:tc>
        <w:tc>
          <w:tcPr>
            <w:tcW w:w="851" w:type="dxa"/>
            <w:vAlign w:val="bottom"/>
          </w:tcPr>
          <w:p w:rsidR="00FD06F3" w:rsidRDefault="00FD06F3">
            <w:pPr>
              <w:widowControl w:val="0"/>
              <w:spacing w:line="235" w:lineRule="auto"/>
              <w:ind w:left="-108" w:right="-108"/>
              <w:jc w:val="center"/>
              <w:rPr>
                <w:sz w:val="16"/>
                <w:szCs w:val="16"/>
              </w:rPr>
            </w:pPr>
          </w:p>
        </w:tc>
        <w:tc>
          <w:tcPr>
            <w:tcW w:w="1701" w:type="dxa"/>
            <w:tcBorders>
              <w:top w:val="single" w:sz="6" w:space="0" w:color="auto"/>
              <w:bottom w:val="single" w:sz="6" w:space="0" w:color="auto"/>
            </w:tcBorders>
            <w:vAlign w:val="bottom"/>
          </w:tcPr>
          <w:p w:rsidR="00FD06F3" w:rsidRDefault="0054425B">
            <w:pPr>
              <w:widowControl w:val="0"/>
              <w:tabs>
                <w:tab w:val="decimal" w:pos="1247"/>
              </w:tabs>
              <w:spacing w:line="235" w:lineRule="auto"/>
              <w:ind w:right="130"/>
              <w:jc w:val="left"/>
              <w:rPr>
                <w:b/>
                <w:bCs/>
                <w:sz w:val="16"/>
                <w:szCs w:val="16"/>
              </w:rPr>
            </w:pPr>
            <w:r>
              <w:rPr>
                <w:b/>
                <w:bCs/>
                <w:sz w:val="16"/>
                <w:szCs w:val="16"/>
              </w:rPr>
              <w:t>(931 355)</w:t>
            </w:r>
          </w:p>
        </w:tc>
        <w:tc>
          <w:tcPr>
            <w:tcW w:w="1701" w:type="dxa"/>
            <w:tcBorders>
              <w:top w:val="single" w:sz="6" w:space="0" w:color="auto"/>
              <w:bottom w:val="single" w:sz="6" w:space="0" w:color="auto"/>
            </w:tcBorders>
            <w:vAlign w:val="bottom"/>
          </w:tcPr>
          <w:p w:rsidR="00FD06F3" w:rsidRDefault="0054425B">
            <w:pPr>
              <w:widowControl w:val="0"/>
              <w:tabs>
                <w:tab w:val="decimal" w:pos="1247"/>
              </w:tabs>
              <w:spacing w:line="235" w:lineRule="auto"/>
              <w:ind w:right="130"/>
              <w:jc w:val="left"/>
              <w:rPr>
                <w:b/>
                <w:bCs/>
                <w:sz w:val="16"/>
                <w:szCs w:val="16"/>
              </w:rPr>
            </w:pPr>
            <w:r>
              <w:rPr>
                <w:b/>
                <w:bCs/>
                <w:sz w:val="16"/>
                <w:szCs w:val="16"/>
              </w:rPr>
              <w:t>(150 341)</w:t>
            </w:r>
          </w:p>
        </w:tc>
      </w:tr>
      <w:tr w:rsidR="00FD06F3">
        <w:trPr>
          <w:trHeight w:val="23"/>
          <w:jc w:val="center"/>
        </w:trPr>
        <w:tc>
          <w:tcPr>
            <w:tcW w:w="5385" w:type="dxa"/>
            <w:vAlign w:val="bottom"/>
          </w:tcPr>
          <w:p w:rsidR="00FD06F3" w:rsidRDefault="00FD06F3">
            <w:pPr>
              <w:pStyle w:val="Heading9"/>
              <w:keepNext w:val="0"/>
              <w:widowControl w:val="0"/>
              <w:spacing w:line="235" w:lineRule="auto"/>
              <w:ind w:left="5" w:right="-108" w:hanging="113"/>
              <w:jc w:val="left"/>
              <w:rPr>
                <w:rFonts w:ascii="Times New Roman" w:hAnsi="Times New Roman"/>
                <w:b/>
                <w:bCs/>
                <w:sz w:val="16"/>
                <w:szCs w:val="16"/>
              </w:rPr>
            </w:pPr>
          </w:p>
        </w:tc>
        <w:tc>
          <w:tcPr>
            <w:tcW w:w="851" w:type="dxa"/>
            <w:vAlign w:val="bottom"/>
          </w:tcPr>
          <w:p w:rsidR="00FD06F3" w:rsidRDefault="00FD06F3">
            <w:pPr>
              <w:widowControl w:val="0"/>
              <w:spacing w:line="235" w:lineRule="auto"/>
              <w:ind w:left="-108" w:right="-108"/>
              <w:jc w:val="center"/>
              <w:rPr>
                <w:sz w:val="16"/>
                <w:szCs w:val="16"/>
              </w:rPr>
            </w:pPr>
          </w:p>
        </w:tc>
        <w:tc>
          <w:tcPr>
            <w:tcW w:w="1701" w:type="dxa"/>
            <w:tcBorders>
              <w:top w:val="single" w:sz="6" w:space="0" w:color="auto"/>
            </w:tcBorders>
            <w:vAlign w:val="bottom"/>
          </w:tcPr>
          <w:p w:rsidR="00FD06F3" w:rsidRDefault="00FD06F3">
            <w:pPr>
              <w:widowControl w:val="0"/>
              <w:tabs>
                <w:tab w:val="decimal" w:pos="1247"/>
              </w:tabs>
              <w:spacing w:line="235" w:lineRule="auto"/>
              <w:ind w:right="130"/>
              <w:jc w:val="left"/>
              <w:rPr>
                <w:b/>
                <w:bCs/>
                <w:sz w:val="16"/>
                <w:szCs w:val="16"/>
              </w:rPr>
            </w:pPr>
          </w:p>
        </w:tc>
        <w:tc>
          <w:tcPr>
            <w:tcW w:w="1701" w:type="dxa"/>
            <w:tcBorders>
              <w:top w:val="single" w:sz="6" w:space="0" w:color="auto"/>
            </w:tcBorders>
            <w:vAlign w:val="bottom"/>
          </w:tcPr>
          <w:p w:rsidR="00FD06F3" w:rsidRDefault="00FD06F3">
            <w:pPr>
              <w:widowControl w:val="0"/>
              <w:tabs>
                <w:tab w:val="decimal" w:pos="1247"/>
              </w:tabs>
              <w:spacing w:line="235" w:lineRule="auto"/>
              <w:ind w:right="130"/>
              <w:jc w:val="left"/>
              <w:rPr>
                <w:b/>
                <w:bCs/>
                <w:sz w:val="16"/>
                <w:szCs w:val="16"/>
              </w:rPr>
            </w:pPr>
          </w:p>
        </w:tc>
      </w:tr>
      <w:tr w:rsidR="00FD06F3">
        <w:trPr>
          <w:trHeight w:val="23"/>
          <w:jc w:val="center"/>
        </w:trPr>
        <w:tc>
          <w:tcPr>
            <w:tcW w:w="5385" w:type="dxa"/>
            <w:vAlign w:val="bottom"/>
          </w:tcPr>
          <w:p w:rsidR="00FD06F3" w:rsidRDefault="0054425B">
            <w:pPr>
              <w:pStyle w:val="Heading9"/>
              <w:keepNext w:val="0"/>
              <w:widowControl w:val="0"/>
              <w:spacing w:line="235" w:lineRule="auto"/>
              <w:ind w:left="5" w:right="-108" w:hanging="113"/>
              <w:jc w:val="left"/>
              <w:rPr>
                <w:rFonts w:ascii="Times New Roman" w:hAnsi="Times New Roman"/>
                <w:b/>
                <w:bCs/>
                <w:sz w:val="16"/>
                <w:szCs w:val="16"/>
              </w:rPr>
            </w:pPr>
            <w:r>
              <w:rPr>
                <w:rFonts w:ascii="Times New Roman" w:hAnsi="Times New Roman"/>
                <w:b/>
                <w:bCs/>
                <w:sz w:val="16"/>
                <w:szCs w:val="16"/>
              </w:rPr>
              <w:t>Чистое уменьшение денежных средств и их эквивалентов</w:t>
            </w:r>
          </w:p>
        </w:tc>
        <w:tc>
          <w:tcPr>
            <w:tcW w:w="851" w:type="dxa"/>
            <w:vAlign w:val="bottom"/>
          </w:tcPr>
          <w:p w:rsidR="00FD06F3" w:rsidRDefault="00FD06F3">
            <w:pPr>
              <w:widowControl w:val="0"/>
              <w:spacing w:line="235" w:lineRule="auto"/>
              <w:ind w:left="-108" w:right="-108"/>
              <w:jc w:val="center"/>
              <w:rPr>
                <w:b/>
                <w:sz w:val="16"/>
                <w:szCs w:val="16"/>
              </w:rPr>
            </w:pPr>
          </w:p>
        </w:tc>
        <w:tc>
          <w:tcPr>
            <w:tcW w:w="1701" w:type="dxa"/>
            <w:vAlign w:val="bottom"/>
          </w:tcPr>
          <w:p w:rsidR="00FD06F3" w:rsidRDefault="0054425B">
            <w:pPr>
              <w:widowControl w:val="0"/>
              <w:tabs>
                <w:tab w:val="decimal" w:pos="1247"/>
              </w:tabs>
              <w:spacing w:line="235" w:lineRule="auto"/>
              <w:ind w:right="130"/>
              <w:jc w:val="left"/>
              <w:rPr>
                <w:b/>
                <w:sz w:val="16"/>
                <w:szCs w:val="16"/>
              </w:rPr>
            </w:pPr>
            <w:r>
              <w:rPr>
                <w:b/>
                <w:sz w:val="16"/>
                <w:szCs w:val="16"/>
              </w:rPr>
              <w:t>(89 830)</w:t>
            </w:r>
          </w:p>
        </w:tc>
        <w:tc>
          <w:tcPr>
            <w:tcW w:w="1701" w:type="dxa"/>
            <w:vAlign w:val="bottom"/>
          </w:tcPr>
          <w:p w:rsidR="00FD06F3" w:rsidRDefault="0054425B">
            <w:pPr>
              <w:widowControl w:val="0"/>
              <w:tabs>
                <w:tab w:val="decimal" w:pos="1247"/>
              </w:tabs>
              <w:spacing w:line="235" w:lineRule="auto"/>
              <w:ind w:right="130"/>
              <w:jc w:val="left"/>
              <w:rPr>
                <w:b/>
                <w:sz w:val="16"/>
                <w:szCs w:val="16"/>
              </w:rPr>
            </w:pPr>
            <w:r>
              <w:rPr>
                <w:b/>
                <w:sz w:val="16"/>
                <w:szCs w:val="16"/>
              </w:rPr>
              <w:t>(52 820)</w:t>
            </w:r>
          </w:p>
        </w:tc>
      </w:tr>
      <w:tr w:rsidR="00FD06F3">
        <w:trPr>
          <w:trHeight w:hRule="exact" w:val="142"/>
          <w:jc w:val="center"/>
        </w:trPr>
        <w:tc>
          <w:tcPr>
            <w:tcW w:w="5385" w:type="dxa"/>
            <w:vAlign w:val="bottom"/>
          </w:tcPr>
          <w:p w:rsidR="00FD06F3" w:rsidRDefault="0054425B">
            <w:pPr>
              <w:pStyle w:val="Heading9"/>
              <w:keepNext w:val="0"/>
              <w:widowControl w:val="0"/>
              <w:spacing w:line="235" w:lineRule="auto"/>
              <w:ind w:left="5" w:right="-108" w:hanging="113"/>
              <w:jc w:val="left"/>
              <w:rPr>
                <w:rFonts w:ascii="Times New Roman" w:hAnsi="Times New Roman"/>
                <w:b/>
                <w:bCs/>
                <w:sz w:val="16"/>
                <w:szCs w:val="16"/>
              </w:rPr>
            </w:pPr>
            <w:r>
              <w:rPr>
                <w:rFonts w:ascii="Times New Roman" w:hAnsi="Times New Roman"/>
                <w:b/>
                <w:bCs/>
                <w:sz w:val="16"/>
                <w:szCs w:val="16"/>
              </w:rPr>
              <w:t xml:space="preserve"> </w:t>
            </w:r>
          </w:p>
        </w:tc>
        <w:tc>
          <w:tcPr>
            <w:tcW w:w="851" w:type="dxa"/>
            <w:vAlign w:val="bottom"/>
          </w:tcPr>
          <w:p w:rsidR="00FD06F3" w:rsidRDefault="00FD06F3">
            <w:pPr>
              <w:widowControl w:val="0"/>
              <w:spacing w:line="235" w:lineRule="auto"/>
              <w:ind w:left="-108" w:right="-108"/>
              <w:jc w:val="center"/>
              <w:rPr>
                <w:b/>
                <w:sz w:val="16"/>
                <w:szCs w:val="16"/>
              </w:rPr>
            </w:pPr>
          </w:p>
        </w:tc>
        <w:tc>
          <w:tcPr>
            <w:tcW w:w="1701" w:type="dxa"/>
            <w:vAlign w:val="bottom"/>
          </w:tcPr>
          <w:p w:rsidR="00FD06F3" w:rsidRDefault="00FD06F3">
            <w:pPr>
              <w:widowControl w:val="0"/>
              <w:tabs>
                <w:tab w:val="decimal" w:pos="1247"/>
              </w:tabs>
              <w:spacing w:line="235" w:lineRule="auto"/>
              <w:ind w:right="130"/>
              <w:jc w:val="left"/>
              <w:rPr>
                <w:b/>
                <w:sz w:val="16"/>
                <w:szCs w:val="16"/>
              </w:rPr>
            </w:pPr>
          </w:p>
        </w:tc>
        <w:tc>
          <w:tcPr>
            <w:tcW w:w="1701" w:type="dxa"/>
            <w:vAlign w:val="bottom"/>
          </w:tcPr>
          <w:p w:rsidR="00FD06F3" w:rsidRDefault="00FD06F3">
            <w:pPr>
              <w:widowControl w:val="0"/>
              <w:tabs>
                <w:tab w:val="decimal" w:pos="1247"/>
              </w:tabs>
              <w:spacing w:line="235" w:lineRule="auto"/>
              <w:ind w:right="130"/>
              <w:jc w:val="left"/>
              <w:rPr>
                <w:b/>
                <w:sz w:val="16"/>
                <w:szCs w:val="16"/>
              </w:rPr>
            </w:pPr>
          </w:p>
        </w:tc>
      </w:tr>
      <w:tr w:rsidR="00FD06F3">
        <w:trPr>
          <w:trHeight w:val="23"/>
          <w:jc w:val="center"/>
        </w:trPr>
        <w:tc>
          <w:tcPr>
            <w:tcW w:w="5385" w:type="dxa"/>
            <w:vAlign w:val="bottom"/>
          </w:tcPr>
          <w:p w:rsidR="00FD06F3" w:rsidRDefault="0054425B">
            <w:pPr>
              <w:pStyle w:val="Heading9"/>
              <w:keepNext w:val="0"/>
              <w:widowControl w:val="0"/>
              <w:spacing w:line="235" w:lineRule="auto"/>
              <w:ind w:left="5" w:right="-108" w:hanging="113"/>
              <w:jc w:val="left"/>
              <w:rPr>
                <w:rFonts w:ascii="Times New Roman" w:hAnsi="Times New Roman"/>
                <w:b/>
                <w:bCs/>
                <w:sz w:val="16"/>
                <w:szCs w:val="16"/>
              </w:rPr>
            </w:pPr>
            <w:r>
              <w:rPr>
                <w:rFonts w:ascii="Times New Roman" w:hAnsi="Times New Roman"/>
                <w:b/>
                <w:bCs/>
                <w:sz w:val="16"/>
                <w:szCs w:val="16"/>
              </w:rPr>
              <w:t>Денежные средства и их эквиваленты на начало периода</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9</w:t>
            </w:r>
          </w:p>
        </w:tc>
        <w:tc>
          <w:tcPr>
            <w:tcW w:w="1701" w:type="dxa"/>
            <w:tcBorders>
              <w:bottom w:val="single" w:sz="6" w:space="0" w:color="auto"/>
            </w:tcBorders>
            <w:vAlign w:val="bottom"/>
          </w:tcPr>
          <w:p w:rsidR="00FD06F3" w:rsidRDefault="0054425B">
            <w:pPr>
              <w:widowControl w:val="0"/>
              <w:tabs>
                <w:tab w:val="decimal" w:pos="1247"/>
              </w:tabs>
              <w:spacing w:line="235" w:lineRule="auto"/>
              <w:ind w:right="130"/>
              <w:jc w:val="left"/>
              <w:rPr>
                <w:b/>
                <w:sz w:val="16"/>
                <w:szCs w:val="16"/>
              </w:rPr>
            </w:pPr>
            <w:r>
              <w:rPr>
                <w:b/>
                <w:sz w:val="16"/>
                <w:szCs w:val="16"/>
              </w:rPr>
              <w:t>145 773</w:t>
            </w:r>
          </w:p>
        </w:tc>
        <w:tc>
          <w:tcPr>
            <w:tcW w:w="1701" w:type="dxa"/>
            <w:tcBorders>
              <w:bottom w:val="single" w:sz="6" w:space="0" w:color="auto"/>
            </w:tcBorders>
            <w:vAlign w:val="bottom"/>
          </w:tcPr>
          <w:p w:rsidR="00FD06F3" w:rsidRDefault="0054425B">
            <w:pPr>
              <w:widowControl w:val="0"/>
              <w:tabs>
                <w:tab w:val="decimal" w:pos="1247"/>
              </w:tabs>
              <w:spacing w:line="235" w:lineRule="auto"/>
              <w:ind w:right="130"/>
              <w:jc w:val="left"/>
              <w:rPr>
                <w:b/>
                <w:sz w:val="16"/>
                <w:szCs w:val="16"/>
              </w:rPr>
            </w:pPr>
            <w:r>
              <w:rPr>
                <w:b/>
                <w:sz w:val="16"/>
                <w:szCs w:val="16"/>
              </w:rPr>
              <w:t>198 593</w:t>
            </w:r>
          </w:p>
        </w:tc>
      </w:tr>
      <w:tr w:rsidR="00FD06F3">
        <w:trPr>
          <w:trHeight w:val="283"/>
          <w:jc w:val="center"/>
        </w:trPr>
        <w:tc>
          <w:tcPr>
            <w:tcW w:w="5385" w:type="dxa"/>
            <w:vAlign w:val="bottom"/>
          </w:tcPr>
          <w:p w:rsidR="00FD06F3" w:rsidRDefault="0054425B">
            <w:pPr>
              <w:pStyle w:val="Heading9"/>
              <w:keepNext w:val="0"/>
              <w:widowControl w:val="0"/>
              <w:spacing w:line="235" w:lineRule="auto"/>
              <w:ind w:left="5" w:right="-108" w:hanging="113"/>
              <w:jc w:val="left"/>
              <w:rPr>
                <w:rFonts w:ascii="Times New Roman" w:hAnsi="Times New Roman"/>
                <w:b/>
                <w:bCs/>
                <w:sz w:val="16"/>
                <w:szCs w:val="16"/>
              </w:rPr>
            </w:pPr>
            <w:r>
              <w:rPr>
                <w:rFonts w:ascii="Times New Roman" w:hAnsi="Times New Roman"/>
                <w:b/>
                <w:bCs/>
                <w:sz w:val="16"/>
                <w:szCs w:val="16"/>
              </w:rPr>
              <w:t>Денежные средства и их эквиваленты на конец периода</w:t>
            </w:r>
          </w:p>
        </w:tc>
        <w:tc>
          <w:tcPr>
            <w:tcW w:w="851" w:type="dxa"/>
            <w:vAlign w:val="bottom"/>
          </w:tcPr>
          <w:p w:rsidR="00FD06F3" w:rsidRDefault="0054425B">
            <w:pPr>
              <w:widowControl w:val="0"/>
              <w:spacing w:line="235" w:lineRule="auto"/>
              <w:ind w:left="-108" w:right="-108"/>
              <w:jc w:val="center"/>
              <w:rPr>
                <w:sz w:val="16"/>
                <w:szCs w:val="16"/>
              </w:rPr>
            </w:pPr>
            <w:r>
              <w:rPr>
                <w:sz w:val="16"/>
                <w:szCs w:val="16"/>
              </w:rPr>
              <w:t>9</w:t>
            </w:r>
          </w:p>
        </w:tc>
        <w:tc>
          <w:tcPr>
            <w:tcW w:w="1701" w:type="dxa"/>
            <w:tcBorders>
              <w:top w:val="single" w:sz="6" w:space="0" w:color="auto"/>
              <w:bottom w:val="single" w:sz="12" w:space="0" w:color="auto"/>
            </w:tcBorders>
            <w:vAlign w:val="bottom"/>
          </w:tcPr>
          <w:p w:rsidR="00FD06F3" w:rsidRDefault="0054425B">
            <w:pPr>
              <w:widowControl w:val="0"/>
              <w:tabs>
                <w:tab w:val="decimal" w:pos="1247"/>
              </w:tabs>
              <w:spacing w:line="235" w:lineRule="auto"/>
              <w:ind w:right="130"/>
              <w:jc w:val="left"/>
              <w:rPr>
                <w:b/>
                <w:sz w:val="16"/>
                <w:szCs w:val="16"/>
              </w:rPr>
            </w:pPr>
            <w:r>
              <w:rPr>
                <w:b/>
                <w:sz w:val="16"/>
                <w:szCs w:val="16"/>
              </w:rPr>
              <w:t>55 943</w:t>
            </w:r>
          </w:p>
        </w:tc>
        <w:tc>
          <w:tcPr>
            <w:tcW w:w="1701" w:type="dxa"/>
            <w:tcBorders>
              <w:top w:val="single" w:sz="6" w:space="0" w:color="auto"/>
              <w:bottom w:val="single" w:sz="12" w:space="0" w:color="auto"/>
            </w:tcBorders>
            <w:vAlign w:val="bottom"/>
          </w:tcPr>
          <w:p w:rsidR="00FD06F3" w:rsidRDefault="0054425B">
            <w:pPr>
              <w:widowControl w:val="0"/>
              <w:tabs>
                <w:tab w:val="decimal" w:pos="1247"/>
              </w:tabs>
              <w:spacing w:line="235" w:lineRule="auto"/>
              <w:ind w:right="130"/>
              <w:jc w:val="left"/>
              <w:rPr>
                <w:b/>
                <w:sz w:val="16"/>
                <w:szCs w:val="16"/>
              </w:rPr>
            </w:pPr>
            <w:r>
              <w:rPr>
                <w:b/>
                <w:sz w:val="16"/>
                <w:szCs w:val="16"/>
              </w:rPr>
              <w:t>145 773</w:t>
            </w:r>
          </w:p>
        </w:tc>
      </w:tr>
    </w:tbl>
    <w:p w:rsidR="00FD06F3" w:rsidRDefault="00FD06F3">
      <w:pPr>
        <w:widowControl w:val="0"/>
        <w:rPr>
          <w:sz w:val="32"/>
        </w:rPr>
      </w:pPr>
    </w:p>
    <w:p w:rsidR="00FD06F3" w:rsidRDefault="0054425B">
      <w:pPr>
        <w:pStyle w:val="Text33"/>
        <w:widowControl w:val="0"/>
        <w:tabs>
          <w:tab w:val="left" w:pos="7938"/>
        </w:tabs>
        <w:spacing w:after="0"/>
      </w:pPr>
      <w:r>
        <w:t>Исполнительный директор</w:t>
      </w:r>
      <w:r>
        <w:tab/>
        <w:t>М.И. Зайченко</w:t>
      </w:r>
    </w:p>
    <w:p w:rsidR="00FD06F3" w:rsidRDefault="00FD06F3">
      <w:pPr>
        <w:tabs>
          <w:tab w:val="left" w:pos="7938"/>
        </w:tabs>
        <w:rPr>
          <w:sz w:val="24"/>
        </w:rPr>
      </w:pPr>
    </w:p>
    <w:p w:rsidR="00FD06F3" w:rsidRDefault="0054425B">
      <w:pPr>
        <w:pStyle w:val="Text33"/>
        <w:widowControl w:val="0"/>
        <w:tabs>
          <w:tab w:val="left" w:pos="7938"/>
        </w:tabs>
        <w:spacing w:after="0"/>
      </w:pPr>
      <w:r>
        <w:t>Главный бухгалтер</w:t>
      </w:r>
      <w:r>
        <w:tab/>
        <w:t>С.В. Мельниченко</w:t>
      </w:r>
    </w:p>
    <w:p w:rsidR="00FD06F3" w:rsidRDefault="00FD06F3">
      <w:pPr>
        <w:rPr>
          <w:sz w:val="16"/>
        </w:rPr>
      </w:pPr>
    </w:p>
    <w:p w:rsidR="00FD06F3" w:rsidRDefault="0054425B">
      <w:pPr>
        <w:tabs>
          <w:tab w:val="left" w:pos="7938"/>
        </w:tabs>
        <w:jc w:val="left"/>
        <w:rPr>
          <w:sz w:val="10"/>
        </w:rPr>
      </w:pPr>
      <w:r>
        <w:tab/>
        <w:t>27 апреля 2018 г.</w:t>
      </w:r>
    </w:p>
    <w:p w:rsidR="00FD06F3" w:rsidRDefault="00FD06F3">
      <w:pPr>
        <w:pStyle w:val="Text33"/>
        <w:widowControl w:val="0"/>
        <w:spacing w:after="0"/>
        <w:rPr>
          <w:sz w:val="10"/>
        </w:rPr>
        <w:sectPr w:rsidR="00FD06F3">
          <w:pgSz w:w="11907" w:h="16840" w:code="9"/>
          <w:pgMar w:top="1134" w:right="851" w:bottom="851" w:left="1418" w:header="720" w:footer="720" w:gutter="0"/>
          <w:cols w:space="720"/>
        </w:sectPr>
      </w:pPr>
    </w:p>
    <w:p w:rsidR="00FD06F3" w:rsidRDefault="0054425B">
      <w:pPr>
        <w:pStyle w:val="level10"/>
        <w:jc w:val="left"/>
        <w:rPr>
          <w:rFonts w:ascii="Times New Roman" w:hAnsi="Times New Roman" w:cs="Times New Roman"/>
          <w:b/>
          <w:bCs/>
          <w:sz w:val="24"/>
          <w:szCs w:val="24"/>
        </w:rPr>
      </w:pPr>
      <w:bookmarkStart w:id="15" w:name="_Toc354762876"/>
      <w:bookmarkStart w:id="16" w:name="_Toc356225081"/>
      <w:bookmarkStart w:id="17" w:name="_Toc387743806"/>
      <w:bookmarkStart w:id="18" w:name="_Toc387743924"/>
      <w:bookmarkStart w:id="19" w:name="_Toc325469646"/>
      <w:r>
        <w:rPr>
          <w:rFonts w:ascii="Times New Roman" w:hAnsi="Times New Roman" w:cs="Times New Roman"/>
          <w:b/>
          <w:bCs/>
          <w:sz w:val="24"/>
          <w:szCs w:val="24"/>
        </w:rPr>
        <w:lastRenderedPageBreak/>
        <w:t>Консолидированный отчет об изменениях капитал</w:t>
      </w:r>
      <w:bookmarkEnd w:id="15"/>
      <w:bookmarkEnd w:id="16"/>
      <w:r>
        <w:rPr>
          <w:rFonts w:ascii="Times New Roman" w:hAnsi="Times New Roman" w:cs="Times New Roman"/>
          <w:b/>
          <w:bCs/>
          <w:sz w:val="24"/>
          <w:szCs w:val="24"/>
        </w:rPr>
        <w:t>а</w:t>
      </w:r>
      <w:bookmarkEnd w:id="17"/>
      <w:bookmarkEnd w:id="18"/>
      <w:r>
        <w:rPr>
          <w:rFonts w:ascii="Times New Roman" w:hAnsi="Times New Roman" w:cs="Times New Roman"/>
          <w:b/>
          <w:bCs/>
          <w:sz w:val="24"/>
          <w:szCs w:val="24"/>
        </w:rPr>
        <w:t xml:space="preserve"> </w:t>
      </w:r>
      <w:bookmarkEnd w:id="19"/>
    </w:p>
    <w:p w:rsidR="00FD06F3" w:rsidRDefault="00FD06F3">
      <w:pPr>
        <w:widowControl w:val="0"/>
      </w:pPr>
    </w:p>
    <w:p w:rsidR="00FD06F3" w:rsidRDefault="00FD06F3">
      <w:pPr>
        <w:widowControl w:val="0"/>
      </w:pPr>
    </w:p>
    <w:tbl>
      <w:tblPr>
        <w:tblW w:w="9637" w:type="dxa"/>
        <w:jc w:val="center"/>
        <w:tblLayout w:type="fixed"/>
        <w:tblLook w:val="0000" w:firstRow="0" w:lastRow="0" w:firstColumn="0" w:lastColumn="0" w:noHBand="0" w:noVBand="0"/>
      </w:tblPr>
      <w:tblGrid>
        <w:gridCol w:w="2493"/>
        <w:gridCol w:w="1020"/>
        <w:gridCol w:w="1020"/>
        <w:gridCol w:w="1020"/>
        <w:gridCol w:w="1021"/>
        <w:gridCol w:w="1022"/>
        <w:gridCol w:w="1020"/>
        <w:gridCol w:w="1021"/>
      </w:tblGrid>
      <w:tr w:rsidR="00FD06F3">
        <w:trPr>
          <w:trHeight w:val="23"/>
          <w:jc w:val="center"/>
        </w:trPr>
        <w:tc>
          <w:tcPr>
            <w:tcW w:w="2493" w:type="dxa"/>
            <w:vAlign w:val="bottom"/>
          </w:tcPr>
          <w:p w:rsidR="00FD06F3" w:rsidRDefault="00FD06F3">
            <w:pPr>
              <w:widowControl w:val="0"/>
              <w:ind w:left="5" w:right="-108" w:hanging="113"/>
              <w:jc w:val="left"/>
              <w:rPr>
                <w:b/>
                <w:bCs/>
                <w:sz w:val="17"/>
                <w:szCs w:val="17"/>
              </w:rPr>
            </w:pPr>
          </w:p>
        </w:tc>
        <w:tc>
          <w:tcPr>
            <w:tcW w:w="5103" w:type="dxa"/>
            <w:gridSpan w:val="5"/>
            <w:tcBorders>
              <w:bottom w:val="single" w:sz="6" w:space="0" w:color="auto"/>
            </w:tcBorders>
            <w:vAlign w:val="bottom"/>
          </w:tcPr>
          <w:p w:rsidR="00FD06F3" w:rsidRDefault="0054425B">
            <w:pPr>
              <w:widowControl w:val="0"/>
              <w:ind w:left="-108" w:right="-108"/>
              <w:jc w:val="center"/>
              <w:rPr>
                <w:b/>
                <w:bCs/>
                <w:sz w:val="17"/>
                <w:szCs w:val="17"/>
              </w:rPr>
            </w:pPr>
            <w:r>
              <w:rPr>
                <w:b/>
                <w:bCs/>
                <w:sz w:val="17"/>
                <w:szCs w:val="17"/>
              </w:rPr>
              <w:t>Капитал, приходящийся на акционеров материнской компании</w:t>
            </w:r>
          </w:p>
        </w:tc>
        <w:tc>
          <w:tcPr>
            <w:tcW w:w="1020" w:type="dxa"/>
            <w:vMerge w:val="restart"/>
            <w:vAlign w:val="bottom"/>
          </w:tcPr>
          <w:p w:rsidR="00FD06F3" w:rsidRDefault="0054425B">
            <w:pPr>
              <w:widowControl w:val="0"/>
              <w:ind w:left="-108" w:right="-108"/>
              <w:jc w:val="center"/>
              <w:rPr>
                <w:b/>
                <w:bCs/>
                <w:sz w:val="17"/>
                <w:szCs w:val="17"/>
              </w:rPr>
            </w:pPr>
            <w:r>
              <w:rPr>
                <w:b/>
                <w:bCs/>
                <w:sz w:val="17"/>
                <w:szCs w:val="17"/>
              </w:rPr>
              <w:t>Неконт-рольные доли участия</w:t>
            </w:r>
          </w:p>
        </w:tc>
        <w:tc>
          <w:tcPr>
            <w:tcW w:w="1021" w:type="dxa"/>
            <w:vMerge w:val="restart"/>
            <w:vAlign w:val="bottom"/>
          </w:tcPr>
          <w:p w:rsidR="00FD06F3" w:rsidRDefault="0054425B">
            <w:pPr>
              <w:widowControl w:val="0"/>
              <w:ind w:left="-108" w:right="-108"/>
              <w:jc w:val="center"/>
              <w:rPr>
                <w:b/>
                <w:bCs/>
                <w:sz w:val="17"/>
                <w:szCs w:val="17"/>
              </w:rPr>
            </w:pPr>
            <w:r>
              <w:rPr>
                <w:b/>
                <w:bCs/>
                <w:sz w:val="17"/>
                <w:szCs w:val="17"/>
              </w:rPr>
              <w:t>Итого капитал</w:t>
            </w:r>
          </w:p>
        </w:tc>
      </w:tr>
      <w:tr w:rsidR="00FD06F3">
        <w:trPr>
          <w:trHeight w:val="23"/>
          <w:jc w:val="center"/>
        </w:trPr>
        <w:tc>
          <w:tcPr>
            <w:tcW w:w="2493" w:type="dxa"/>
            <w:vAlign w:val="bottom"/>
          </w:tcPr>
          <w:p w:rsidR="00FD06F3" w:rsidRDefault="00FD06F3">
            <w:pPr>
              <w:widowControl w:val="0"/>
              <w:ind w:left="5" w:right="-108" w:hanging="113"/>
              <w:jc w:val="left"/>
              <w:rPr>
                <w:b/>
                <w:bCs/>
                <w:sz w:val="17"/>
                <w:szCs w:val="17"/>
              </w:rPr>
            </w:pPr>
          </w:p>
        </w:tc>
        <w:tc>
          <w:tcPr>
            <w:tcW w:w="1020" w:type="dxa"/>
            <w:tcBorders>
              <w:top w:val="single" w:sz="6" w:space="0" w:color="auto"/>
              <w:bottom w:val="single" w:sz="6" w:space="0" w:color="auto"/>
            </w:tcBorders>
            <w:vAlign w:val="bottom"/>
          </w:tcPr>
          <w:p w:rsidR="00FD06F3" w:rsidRDefault="0054425B">
            <w:pPr>
              <w:widowControl w:val="0"/>
              <w:ind w:left="-108" w:right="-108"/>
              <w:jc w:val="center"/>
              <w:rPr>
                <w:b/>
                <w:bCs/>
                <w:sz w:val="17"/>
                <w:szCs w:val="17"/>
              </w:rPr>
            </w:pPr>
            <w:r>
              <w:rPr>
                <w:b/>
                <w:bCs/>
                <w:sz w:val="17"/>
                <w:szCs w:val="17"/>
              </w:rPr>
              <w:t>Уставный капитал</w:t>
            </w:r>
          </w:p>
        </w:tc>
        <w:tc>
          <w:tcPr>
            <w:tcW w:w="1020" w:type="dxa"/>
            <w:tcBorders>
              <w:top w:val="single" w:sz="6" w:space="0" w:color="auto"/>
              <w:bottom w:val="single" w:sz="6" w:space="0" w:color="auto"/>
            </w:tcBorders>
            <w:vAlign w:val="bottom"/>
          </w:tcPr>
          <w:p w:rsidR="00FD06F3" w:rsidRDefault="0054425B">
            <w:pPr>
              <w:widowControl w:val="0"/>
              <w:ind w:left="-108" w:right="-108"/>
              <w:jc w:val="center"/>
              <w:rPr>
                <w:b/>
                <w:bCs/>
                <w:sz w:val="17"/>
                <w:szCs w:val="17"/>
              </w:rPr>
            </w:pPr>
            <w:r>
              <w:rPr>
                <w:b/>
                <w:bCs/>
                <w:sz w:val="17"/>
                <w:szCs w:val="17"/>
              </w:rPr>
              <w:t xml:space="preserve">Эмиссион-ный </w:t>
            </w:r>
            <w:r>
              <w:rPr>
                <w:b/>
                <w:bCs/>
                <w:sz w:val="17"/>
                <w:szCs w:val="17"/>
              </w:rPr>
              <w:br/>
              <w:t>доход</w:t>
            </w:r>
          </w:p>
        </w:tc>
        <w:tc>
          <w:tcPr>
            <w:tcW w:w="1020" w:type="dxa"/>
            <w:tcBorders>
              <w:top w:val="single" w:sz="6" w:space="0" w:color="auto"/>
              <w:bottom w:val="single" w:sz="6" w:space="0" w:color="auto"/>
            </w:tcBorders>
            <w:vAlign w:val="bottom"/>
          </w:tcPr>
          <w:p w:rsidR="00FD06F3" w:rsidRDefault="0054425B">
            <w:pPr>
              <w:widowControl w:val="0"/>
              <w:ind w:left="-108" w:right="-108"/>
              <w:jc w:val="center"/>
              <w:rPr>
                <w:b/>
                <w:bCs/>
                <w:sz w:val="17"/>
                <w:szCs w:val="17"/>
              </w:rPr>
            </w:pPr>
            <w:r>
              <w:rPr>
                <w:b/>
                <w:bCs/>
                <w:sz w:val="17"/>
                <w:szCs w:val="17"/>
              </w:rPr>
              <w:t xml:space="preserve">Добавоч-ный </w:t>
            </w:r>
            <w:r>
              <w:rPr>
                <w:b/>
                <w:bCs/>
                <w:sz w:val="17"/>
                <w:szCs w:val="17"/>
              </w:rPr>
              <w:br/>
              <w:t>капитал</w:t>
            </w:r>
          </w:p>
        </w:tc>
        <w:tc>
          <w:tcPr>
            <w:tcW w:w="1021" w:type="dxa"/>
            <w:tcBorders>
              <w:top w:val="single" w:sz="6" w:space="0" w:color="auto"/>
              <w:bottom w:val="single" w:sz="6" w:space="0" w:color="auto"/>
            </w:tcBorders>
            <w:vAlign w:val="bottom"/>
          </w:tcPr>
          <w:p w:rsidR="00FD06F3" w:rsidRDefault="0054425B">
            <w:pPr>
              <w:widowControl w:val="0"/>
              <w:ind w:left="-108" w:right="-108"/>
              <w:jc w:val="center"/>
              <w:rPr>
                <w:b/>
                <w:bCs/>
                <w:sz w:val="17"/>
                <w:szCs w:val="17"/>
              </w:rPr>
            </w:pPr>
            <w:r>
              <w:rPr>
                <w:b/>
                <w:bCs/>
                <w:sz w:val="17"/>
                <w:szCs w:val="17"/>
              </w:rPr>
              <w:t>Нераспре-деленная прибыль</w:t>
            </w:r>
          </w:p>
        </w:tc>
        <w:tc>
          <w:tcPr>
            <w:tcW w:w="1022" w:type="dxa"/>
            <w:tcBorders>
              <w:top w:val="single" w:sz="6" w:space="0" w:color="auto"/>
              <w:bottom w:val="single" w:sz="6" w:space="0" w:color="auto"/>
            </w:tcBorders>
            <w:vAlign w:val="bottom"/>
          </w:tcPr>
          <w:p w:rsidR="00FD06F3" w:rsidRDefault="0054425B">
            <w:pPr>
              <w:widowControl w:val="0"/>
              <w:ind w:left="-108" w:right="-108"/>
              <w:jc w:val="center"/>
              <w:rPr>
                <w:b/>
                <w:bCs/>
                <w:sz w:val="17"/>
                <w:szCs w:val="17"/>
              </w:rPr>
            </w:pPr>
            <w:r>
              <w:rPr>
                <w:b/>
                <w:bCs/>
                <w:sz w:val="17"/>
                <w:szCs w:val="17"/>
              </w:rPr>
              <w:t>Итого</w:t>
            </w:r>
          </w:p>
        </w:tc>
        <w:tc>
          <w:tcPr>
            <w:tcW w:w="1020" w:type="dxa"/>
            <w:vMerge/>
            <w:tcBorders>
              <w:bottom w:val="single" w:sz="6" w:space="0" w:color="auto"/>
            </w:tcBorders>
            <w:vAlign w:val="bottom"/>
          </w:tcPr>
          <w:p w:rsidR="00FD06F3" w:rsidRDefault="00FD06F3">
            <w:pPr>
              <w:widowControl w:val="0"/>
              <w:ind w:left="-108" w:right="-108"/>
              <w:jc w:val="center"/>
              <w:rPr>
                <w:b/>
                <w:bCs/>
                <w:sz w:val="17"/>
                <w:szCs w:val="17"/>
              </w:rPr>
            </w:pPr>
          </w:p>
        </w:tc>
        <w:tc>
          <w:tcPr>
            <w:tcW w:w="1021" w:type="dxa"/>
            <w:vMerge/>
            <w:tcBorders>
              <w:bottom w:val="single" w:sz="6" w:space="0" w:color="auto"/>
            </w:tcBorders>
            <w:vAlign w:val="bottom"/>
          </w:tcPr>
          <w:p w:rsidR="00FD06F3" w:rsidRDefault="00FD06F3">
            <w:pPr>
              <w:widowControl w:val="0"/>
              <w:ind w:left="-108" w:right="-108"/>
              <w:jc w:val="center"/>
              <w:rPr>
                <w:b/>
                <w:bCs/>
                <w:sz w:val="17"/>
                <w:szCs w:val="17"/>
              </w:rPr>
            </w:pPr>
          </w:p>
        </w:tc>
      </w:tr>
      <w:tr w:rsidR="00FD06F3">
        <w:trPr>
          <w:trHeight w:val="340"/>
          <w:jc w:val="center"/>
        </w:trPr>
        <w:tc>
          <w:tcPr>
            <w:tcW w:w="2493" w:type="dxa"/>
            <w:tcBorders>
              <w:bottom w:val="nil"/>
            </w:tcBorders>
            <w:vAlign w:val="bottom"/>
          </w:tcPr>
          <w:p w:rsidR="00FD06F3" w:rsidRDefault="0054425B">
            <w:pPr>
              <w:pStyle w:val="Tabletext"/>
              <w:widowControl w:val="0"/>
              <w:ind w:left="5" w:right="-108" w:hanging="113"/>
              <w:jc w:val="left"/>
              <w:rPr>
                <w:sz w:val="17"/>
                <w:szCs w:val="17"/>
              </w:rPr>
            </w:pPr>
            <w:r>
              <w:rPr>
                <w:b/>
                <w:bCs/>
                <w:sz w:val="17"/>
                <w:szCs w:val="17"/>
              </w:rPr>
              <w:t>На 31 декабря 2015 г.</w:t>
            </w:r>
          </w:p>
        </w:tc>
        <w:tc>
          <w:tcPr>
            <w:tcW w:w="1020" w:type="dxa"/>
            <w:tcBorders>
              <w:top w:val="single" w:sz="6" w:space="0" w:color="auto"/>
              <w:bottom w:val="single" w:sz="6" w:space="0" w:color="auto"/>
            </w:tcBorders>
            <w:vAlign w:val="bottom"/>
          </w:tcPr>
          <w:p w:rsidR="00FD06F3" w:rsidRDefault="0054425B">
            <w:pPr>
              <w:widowControl w:val="0"/>
              <w:tabs>
                <w:tab w:val="decimal" w:pos="737"/>
              </w:tabs>
              <w:ind w:left="-108"/>
              <w:jc w:val="left"/>
              <w:rPr>
                <w:b/>
                <w:bCs/>
                <w:sz w:val="17"/>
                <w:szCs w:val="17"/>
              </w:rPr>
            </w:pPr>
            <w:r>
              <w:rPr>
                <w:b/>
                <w:bCs/>
                <w:sz w:val="17"/>
                <w:szCs w:val="17"/>
              </w:rPr>
              <w:t>11 023</w:t>
            </w:r>
          </w:p>
        </w:tc>
        <w:tc>
          <w:tcPr>
            <w:tcW w:w="1020" w:type="dxa"/>
            <w:tcBorders>
              <w:top w:val="single" w:sz="6" w:space="0" w:color="auto"/>
              <w:bottom w:val="single" w:sz="6" w:space="0" w:color="auto"/>
            </w:tcBorders>
            <w:vAlign w:val="bottom"/>
          </w:tcPr>
          <w:p w:rsidR="00FD06F3" w:rsidRDefault="0054425B">
            <w:pPr>
              <w:widowControl w:val="0"/>
              <w:tabs>
                <w:tab w:val="decimal" w:pos="737"/>
              </w:tabs>
              <w:ind w:left="-108"/>
              <w:jc w:val="left"/>
              <w:rPr>
                <w:b/>
                <w:bCs/>
                <w:sz w:val="17"/>
                <w:szCs w:val="17"/>
              </w:rPr>
            </w:pPr>
            <w:r>
              <w:rPr>
                <w:b/>
                <w:bCs/>
                <w:sz w:val="17"/>
                <w:szCs w:val="17"/>
              </w:rPr>
              <w:t>2 246 239</w:t>
            </w:r>
          </w:p>
        </w:tc>
        <w:tc>
          <w:tcPr>
            <w:tcW w:w="1020" w:type="dxa"/>
            <w:tcBorders>
              <w:top w:val="single" w:sz="6" w:space="0" w:color="auto"/>
              <w:bottom w:val="single" w:sz="6" w:space="0" w:color="auto"/>
            </w:tcBorders>
            <w:vAlign w:val="bottom"/>
          </w:tcPr>
          <w:p w:rsidR="00FD06F3" w:rsidRDefault="0054425B">
            <w:pPr>
              <w:widowControl w:val="0"/>
              <w:tabs>
                <w:tab w:val="decimal" w:pos="737"/>
              </w:tabs>
              <w:ind w:left="-108"/>
              <w:jc w:val="left"/>
              <w:rPr>
                <w:b/>
                <w:bCs/>
                <w:sz w:val="17"/>
                <w:szCs w:val="17"/>
              </w:rPr>
            </w:pPr>
            <w:r>
              <w:rPr>
                <w:b/>
                <w:bCs/>
                <w:sz w:val="17"/>
                <w:szCs w:val="17"/>
              </w:rPr>
              <w:t>154 905</w:t>
            </w:r>
          </w:p>
        </w:tc>
        <w:tc>
          <w:tcPr>
            <w:tcW w:w="1021" w:type="dxa"/>
            <w:tcBorders>
              <w:top w:val="single" w:sz="6" w:space="0" w:color="auto"/>
              <w:bottom w:val="single" w:sz="6" w:space="0" w:color="auto"/>
            </w:tcBorders>
            <w:vAlign w:val="bottom"/>
          </w:tcPr>
          <w:p w:rsidR="00FD06F3" w:rsidRDefault="0054425B">
            <w:pPr>
              <w:widowControl w:val="0"/>
              <w:tabs>
                <w:tab w:val="decimal" w:pos="737"/>
              </w:tabs>
              <w:ind w:left="-108"/>
              <w:jc w:val="left"/>
              <w:rPr>
                <w:b/>
                <w:bCs/>
                <w:sz w:val="17"/>
                <w:szCs w:val="17"/>
              </w:rPr>
            </w:pPr>
            <w:r>
              <w:rPr>
                <w:b/>
                <w:bCs/>
                <w:sz w:val="17"/>
                <w:szCs w:val="17"/>
              </w:rPr>
              <w:t>5 116 867</w:t>
            </w:r>
          </w:p>
        </w:tc>
        <w:tc>
          <w:tcPr>
            <w:tcW w:w="1022" w:type="dxa"/>
            <w:tcBorders>
              <w:top w:val="single" w:sz="6" w:space="0" w:color="auto"/>
              <w:bottom w:val="single" w:sz="6" w:space="0" w:color="auto"/>
            </w:tcBorders>
            <w:vAlign w:val="bottom"/>
          </w:tcPr>
          <w:p w:rsidR="00FD06F3" w:rsidRDefault="0054425B">
            <w:pPr>
              <w:widowControl w:val="0"/>
              <w:tabs>
                <w:tab w:val="decimal" w:pos="737"/>
              </w:tabs>
              <w:ind w:left="-108"/>
              <w:jc w:val="left"/>
              <w:rPr>
                <w:b/>
                <w:bCs/>
                <w:sz w:val="17"/>
                <w:szCs w:val="17"/>
              </w:rPr>
            </w:pPr>
            <w:r>
              <w:rPr>
                <w:b/>
                <w:bCs/>
                <w:sz w:val="17"/>
                <w:szCs w:val="17"/>
              </w:rPr>
              <w:t>7 529 034</w:t>
            </w:r>
          </w:p>
        </w:tc>
        <w:tc>
          <w:tcPr>
            <w:tcW w:w="1020" w:type="dxa"/>
            <w:tcBorders>
              <w:top w:val="single" w:sz="6" w:space="0" w:color="auto"/>
              <w:bottom w:val="single" w:sz="6" w:space="0" w:color="auto"/>
            </w:tcBorders>
            <w:vAlign w:val="bottom"/>
          </w:tcPr>
          <w:p w:rsidR="00FD06F3" w:rsidRDefault="0054425B">
            <w:pPr>
              <w:widowControl w:val="0"/>
              <w:tabs>
                <w:tab w:val="decimal" w:pos="737"/>
              </w:tabs>
              <w:ind w:left="-108"/>
              <w:jc w:val="left"/>
              <w:rPr>
                <w:b/>
                <w:bCs/>
                <w:sz w:val="17"/>
                <w:szCs w:val="17"/>
              </w:rPr>
            </w:pPr>
            <w:r>
              <w:rPr>
                <w:b/>
                <w:bCs/>
                <w:sz w:val="17"/>
                <w:szCs w:val="17"/>
              </w:rPr>
              <w:t>391 931</w:t>
            </w:r>
          </w:p>
        </w:tc>
        <w:tc>
          <w:tcPr>
            <w:tcW w:w="1021" w:type="dxa"/>
            <w:tcBorders>
              <w:top w:val="single" w:sz="6" w:space="0" w:color="auto"/>
              <w:bottom w:val="single" w:sz="6" w:space="0" w:color="auto"/>
            </w:tcBorders>
            <w:vAlign w:val="bottom"/>
          </w:tcPr>
          <w:p w:rsidR="00FD06F3" w:rsidRDefault="0054425B">
            <w:pPr>
              <w:widowControl w:val="0"/>
              <w:tabs>
                <w:tab w:val="decimal" w:pos="737"/>
              </w:tabs>
              <w:ind w:left="-108"/>
              <w:jc w:val="left"/>
              <w:rPr>
                <w:b/>
                <w:bCs/>
                <w:sz w:val="17"/>
                <w:szCs w:val="17"/>
              </w:rPr>
            </w:pPr>
            <w:r>
              <w:rPr>
                <w:b/>
                <w:bCs/>
                <w:sz w:val="17"/>
                <w:szCs w:val="17"/>
              </w:rPr>
              <w:t>7 920 965</w:t>
            </w:r>
          </w:p>
        </w:tc>
      </w:tr>
      <w:tr w:rsidR="00FD06F3">
        <w:trPr>
          <w:trHeight w:val="23"/>
          <w:jc w:val="center"/>
        </w:trPr>
        <w:tc>
          <w:tcPr>
            <w:tcW w:w="2493" w:type="dxa"/>
            <w:vAlign w:val="bottom"/>
          </w:tcPr>
          <w:p w:rsidR="00FD06F3" w:rsidRDefault="0054425B">
            <w:pPr>
              <w:pStyle w:val="Tabletext"/>
              <w:widowControl w:val="0"/>
              <w:ind w:left="5" w:right="-108" w:hanging="113"/>
              <w:jc w:val="left"/>
              <w:rPr>
                <w:b/>
                <w:bCs/>
                <w:sz w:val="17"/>
                <w:szCs w:val="17"/>
              </w:rPr>
            </w:pPr>
            <w:r>
              <w:rPr>
                <w:b/>
                <w:bCs/>
                <w:sz w:val="17"/>
                <w:szCs w:val="17"/>
              </w:rPr>
              <w:t xml:space="preserve"> </w:t>
            </w:r>
          </w:p>
        </w:tc>
        <w:tc>
          <w:tcPr>
            <w:tcW w:w="1020" w:type="dxa"/>
            <w:tcBorders>
              <w:top w:val="single" w:sz="6" w:space="0" w:color="auto"/>
            </w:tcBorders>
            <w:vAlign w:val="bottom"/>
          </w:tcPr>
          <w:p w:rsidR="00FD06F3" w:rsidRDefault="00FD06F3">
            <w:pPr>
              <w:widowControl w:val="0"/>
              <w:tabs>
                <w:tab w:val="decimal" w:pos="737"/>
              </w:tabs>
              <w:ind w:left="-108"/>
              <w:jc w:val="left"/>
              <w:rPr>
                <w:b/>
                <w:bCs/>
                <w:sz w:val="17"/>
                <w:szCs w:val="17"/>
              </w:rPr>
            </w:pPr>
          </w:p>
        </w:tc>
        <w:tc>
          <w:tcPr>
            <w:tcW w:w="1020" w:type="dxa"/>
            <w:tcBorders>
              <w:top w:val="single" w:sz="6" w:space="0" w:color="auto"/>
            </w:tcBorders>
            <w:vAlign w:val="bottom"/>
          </w:tcPr>
          <w:p w:rsidR="00FD06F3" w:rsidRDefault="00FD06F3">
            <w:pPr>
              <w:widowControl w:val="0"/>
              <w:tabs>
                <w:tab w:val="decimal" w:pos="737"/>
              </w:tabs>
              <w:ind w:left="-108"/>
              <w:jc w:val="left"/>
              <w:rPr>
                <w:b/>
                <w:bCs/>
                <w:sz w:val="17"/>
                <w:szCs w:val="17"/>
              </w:rPr>
            </w:pPr>
          </w:p>
        </w:tc>
        <w:tc>
          <w:tcPr>
            <w:tcW w:w="1020" w:type="dxa"/>
            <w:tcBorders>
              <w:top w:val="single" w:sz="6" w:space="0" w:color="auto"/>
            </w:tcBorders>
            <w:vAlign w:val="bottom"/>
          </w:tcPr>
          <w:p w:rsidR="00FD06F3" w:rsidRDefault="00FD06F3">
            <w:pPr>
              <w:widowControl w:val="0"/>
              <w:tabs>
                <w:tab w:val="decimal" w:pos="737"/>
              </w:tabs>
              <w:ind w:left="-108"/>
              <w:jc w:val="left"/>
              <w:rPr>
                <w:b/>
                <w:bCs/>
                <w:sz w:val="17"/>
                <w:szCs w:val="17"/>
              </w:rPr>
            </w:pPr>
          </w:p>
        </w:tc>
        <w:tc>
          <w:tcPr>
            <w:tcW w:w="1021" w:type="dxa"/>
            <w:tcBorders>
              <w:top w:val="single" w:sz="6" w:space="0" w:color="auto"/>
            </w:tcBorders>
            <w:vAlign w:val="bottom"/>
          </w:tcPr>
          <w:p w:rsidR="00FD06F3" w:rsidRDefault="00FD06F3">
            <w:pPr>
              <w:widowControl w:val="0"/>
              <w:tabs>
                <w:tab w:val="decimal" w:pos="737"/>
              </w:tabs>
              <w:ind w:left="-108"/>
              <w:jc w:val="left"/>
              <w:rPr>
                <w:b/>
                <w:bCs/>
                <w:sz w:val="17"/>
                <w:szCs w:val="17"/>
              </w:rPr>
            </w:pPr>
          </w:p>
        </w:tc>
        <w:tc>
          <w:tcPr>
            <w:tcW w:w="1022" w:type="dxa"/>
            <w:tcBorders>
              <w:top w:val="single" w:sz="6" w:space="0" w:color="auto"/>
            </w:tcBorders>
            <w:vAlign w:val="bottom"/>
          </w:tcPr>
          <w:p w:rsidR="00FD06F3" w:rsidRDefault="00FD06F3">
            <w:pPr>
              <w:widowControl w:val="0"/>
              <w:tabs>
                <w:tab w:val="decimal" w:pos="737"/>
              </w:tabs>
              <w:ind w:left="-108"/>
              <w:jc w:val="left"/>
              <w:rPr>
                <w:b/>
                <w:bCs/>
                <w:sz w:val="17"/>
                <w:szCs w:val="17"/>
              </w:rPr>
            </w:pPr>
          </w:p>
        </w:tc>
        <w:tc>
          <w:tcPr>
            <w:tcW w:w="1020" w:type="dxa"/>
            <w:tcBorders>
              <w:top w:val="single" w:sz="6" w:space="0" w:color="auto"/>
            </w:tcBorders>
            <w:vAlign w:val="bottom"/>
          </w:tcPr>
          <w:p w:rsidR="00FD06F3" w:rsidRDefault="00FD06F3">
            <w:pPr>
              <w:widowControl w:val="0"/>
              <w:tabs>
                <w:tab w:val="decimal" w:pos="737"/>
              </w:tabs>
              <w:ind w:left="-108"/>
              <w:jc w:val="left"/>
              <w:rPr>
                <w:b/>
                <w:bCs/>
                <w:sz w:val="17"/>
                <w:szCs w:val="17"/>
              </w:rPr>
            </w:pPr>
          </w:p>
        </w:tc>
        <w:tc>
          <w:tcPr>
            <w:tcW w:w="1021" w:type="dxa"/>
            <w:tcBorders>
              <w:top w:val="single" w:sz="6" w:space="0" w:color="auto"/>
            </w:tcBorders>
            <w:vAlign w:val="bottom"/>
          </w:tcPr>
          <w:p w:rsidR="00FD06F3" w:rsidRDefault="00FD06F3">
            <w:pPr>
              <w:widowControl w:val="0"/>
              <w:tabs>
                <w:tab w:val="decimal" w:pos="737"/>
              </w:tabs>
              <w:ind w:left="-108"/>
              <w:jc w:val="left"/>
              <w:rPr>
                <w:b/>
                <w:bCs/>
                <w:sz w:val="17"/>
                <w:szCs w:val="17"/>
              </w:rPr>
            </w:pPr>
          </w:p>
        </w:tc>
      </w:tr>
      <w:tr w:rsidR="00FD06F3">
        <w:trPr>
          <w:trHeight w:val="23"/>
          <w:jc w:val="center"/>
        </w:trPr>
        <w:tc>
          <w:tcPr>
            <w:tcW w:w="2493" w:type="dxa"/>
            <w:tcBorders>
              <w:bottom w:val="nil"/>
            </w:tcBorders>
            <w:vAlign w:val="bottom"/>
          </w:tcPr>
          <w:p w:rsidR="00FD06F3" w:rsidRDefault="0054425B">
            <w:pPr>
              <w:pStyle w:val="Tabletext"/>
              <w:widowControl w:val="0"/>
              <w:ind w:left="5" w:right="-108" w:hanging="113"/>
              <w:jc w:val="left"/>
              <w:rPr>
                <w:b/>
                <w:bCs/>
                <w:sz w:val="17"/>
                <w:szCs w:val="17"/>
              </w:rPr>
            </w:pPr>
            <w:r>
              <w:rPr>
                <w:sz w:val="17"/>
                <w:szCs w:val="17"/>
              </w:rPr>
              <w:t>Прибыль за год</w:t>
            </w:r>
          </w:p>
        </w:tc>
        <w:tc>
          <w:tcPr>
            <w:tcW w:w="1020" w:type="dxa"/>
            <w:tcBorders>
              <w:bottom w:val="single" w:sz="6" w:space="0" w:color="auto"/>
            </w:tcBorders>
            <w:vAlign w:val="bottom"/>
          </w:tcPr>
          <w:p w:rsidR="00FD06F3" w:rsidRDefault="0054425B">
            <w:pPr>
              <w:pStyle w:val="Tabletext"/>
              <w:widowControl w:val="0"/>
              <w:tabs>
                <w:tab w:val="decimal" w:pos="737"/>
              </w:tabs>
              <w:ind w:left="-108"/>
              <w:jc w:val="left"/>
              <w:rPr>
                <w:sz w:val="17"/>
                <w:szCs w:val="17"/>
              </w:rPr>
            </w:pPr>
            <w:r>
              <w:rPr>
                <w:sz w:val="17"/>
                <w:szCs w:val="17"/>
              </w:rPr>
              <w:t>–</w:t>
            </w:r>
          </w:p>
        </w:tc>
        <w:tc>
          <w:tcPr>
            <w:tcW w:w="1020" w:type="dxa"/>
            <w:tcBorders>
              <w:bottom w:val="single" w:sz="6" w:space="0" w:color="auto"/>
            </w:tcBorders>
            <w:vAlign w:val="bottom"/>
          </w:tcPr>
          <w:p w:rsidR="00FD06F3" w:rsidRDefault="0054425B">
            <w:pPr>
              <w:pStyle w:val="Tabletext"/>
              <w:widowControl w:val="0"/>
              <w:tabs>
                <w:tab w:val="decimal" w:pos="737"/>
              </w:tabs>
              <w:ind w:left="-108"/>
              <w:jc w:val="left"/>
              <w:rPr>
                <w:sz w:val="17"/>
                <w:szCs w:val="17"/>
              </w:rPr>
            </w:pPr>
            <w:r>
              <w:rPr>
                <w:sz w:val="17"/>
                <w:szCs w:val="17"/>
              </w:rPr>
              <w:t>–</w:t>
            </w:r>
          </w:p>
        </w:tc>
        <w:tc>
          <w:tcPr>
            <w:tcW w:w="1020" w:type="dxa"/>
            <w:tcBorders>
              <w:bottom w:val="single" w:sz="6" w:space="0" w:color="auto"/>
            </w:tcBorders>
            <w:vAlign w:val="bottom"/>
          </w:tcPr>
          <w:p w:rsidR="00FD06F3" w:rsidRDefault="0054425B">
            <w:pPr>
              <w:pStyle w:val="Tabletext"/>
              <w:widowControl w:val="0"/>
              <w:tabs>
                <w:tab w:val="decimal" w:pos="737"/>
              </w:tabs>
              <w:ind w:left="-108"/>
              <w:jc w:val="left"/>
              <w:rPr>
                <w:sz w:val="17"/>
                <w:szCs w:val="17"/>
              </w:rPr>
            </w:pPr>
            <w:r>
              <w:rPr>
                <w:sz w:val="17"/>
                <w:szCs w:val="17"/>
              </w:rPr>
              <w:t>–</w:t>
            </w:r>
          </w:p>
        </w:tc>
        <w:tc>
          <w:tcPr>
            <w:tcW w:w="1021" w:type="dxa"/>
            <w:tcBorders>
              <w:bottom w:val="single" w:sz="6" w:space="0" w:color="auto"/>
            </w:tcBorders>
            <w:vAlign w:val="bottom"/>
          </w:tcPr>
          <w:p w:rsidR="00FD06F3" w:rsidRDefault="0054425B">
            <w:pPr>
              <w:widowControl w:val="0"/>
              <w:tabs>
                <w:tab w:val="decimal" w:pos="737"/>
              </w:tabs>
              <w:ind w:left="-108"/>
              <w:jc w:val="left"/>
              <w:rPr>
                <w:sz w:val="17"/>
                <w:szCs w:val="17"/>
              </w:rPr>
            </w:pPr>
            <w:r>
              <w:rPr>
                <w:sz w:val="17"/>
                <w:szCs w:val="17"/>
              </w:rPr>
              <w:t>188 026</w:t>
            </w:r>
          </w:p>
        </w:tc>
        <w:tc>
          <w:tcPr>
            <w:tcW w:w="1022" w:type="dxa"/>
            <w:tcBorders>
              <w:bottom w:val="single" w:sz="6" w:space="0" w:color="auto"/>
            </w:tcBorders>
            <w:vAlign w:val="bottom"/>
          </w:tcPr>
          <w:p w:rsidR="00FD06F3" w:rsidRDefault="0054425B">
            <w:pPr>
              <w:widowControl w:val="0"/>
              <w:tabs>
                <w:tab w:val="decimal" w:pos="737"/>
              </w:tabs>
              <w:ind w:left="-108"/>
              <w:jc w:val="left"/>
              <w:rPr>
                <w:b/>
                <w:sz w:val="17"/>
                <w:szCs w:val="17"/>
              </w:rPr>
            </w:pPr>
            <w:r>
              <w:rPr>
                <w:b/>
                <w:sz w:val="17"/>
                <w:szCs w:val="17"/>
              </w:rPr>
              <w:t>188 026</w:t>
            </w:r>
          </w:p>
        </w:tc>
        <w:tc>
          <w:tcPr>
            <w:tcW w:w="1020" w:type="dxa"/>
            <w:tcBorders>
              <w:bottom w:val="single" w:sz="6" w:space="0" w:color="auto"/>
            </w:tcBorders>
            <w:vAlign w:val="bottom"/>
          </w:tcPr>
          <w:p w:rsidR="00FD06F3" w:rsidRDefault="0054425B">
            <w:pPr>
              <w:widowControl w:val="0"/>
              <w:tabs>
                <w:tab w:val="decimal" w:pos="737"/>
              </w:tabs>
              <w:ind w:left="-108"/>
              <w:jc w:val="left"/>
              <w:rPr>
                <w:sz w:val="17"/>
                <w:szCs w:val="17"/>
              </w:rPr>
            </w:pPr>
            <w:r>
              <w:rPr>
                <w:sz w:val="17"/>
                <w:szCs w:val="17"/>
              </w:rPr>
              <w:t>(59 890)</w:t>
            </w:r>
          </w:p>
        </w:tc>
        <w:tc>
          <w:tcPr>
            <w:tcW w:w="1021" w:type="dxa"/>
            <w:tcBorders>
              <w:bottom w:val="single" w:sz="6" w:space="0" w:color="auto"/>
            </w:tcBorders>
            <w:vAlign w:val="bottom"/>
          </w:tcPr>
          <w:p w:rsidR="00FD06F3" w:rsidRDefault="0054425B">
            <w:pPr>
              <w:widowControl w:val="0"/>
              <w:tabs>
                <w:tab w:val="decimal" w:pos="737"/>
              </w:tabs>
              <w:ind w:left="-108"/>
              <w:jc w:val="left"/>
              <w:rPr>
                <w:b/>
                <w:sz w:val="17"/>
                <w:szCs w:val="17"/>
              </w:rPr>
            </w:pPr>
            <w:r>
              <w:rPr>
                <w:b/>
                <w:sz w:val="17"/>
                <w:szCs w:val="17"/>
              </w:rPr>
              <w:t>128 136</w:t>
            </w:r>
          </w:p>
        </w:tc>
      </w:tr>
      <w:tr w:rsidR="00FD06F3">
        <w:trPr>
          <w:trHeight w:val="23"/>
          <w:jc w:val="center"/>
        </w:trPr>
        <w:tc>
          <w:tcPr>
            <w:tcW w:w="2493" w:type="dxa"/>
            <w:tcBorders>
              <w:bottom w:val="nil"/>
            </w:tcBorders>
            <w:vAlign w:val="bottom"/>
          </w:tcPr>
          <w:p w:rsidR="00FD06F3" w:rsidRDefault="0054425B">
            <w:pPr>
              <w:pStyle w:val="Tabletext"/>
              <w:widowControl w:val="0"/>
              <w:ind w:left="5" w:right="-108" w:hanging="113"/>
              <w:jc w:val="left"/>
              <w:rPr>
                <w:b/>
                <w:bCs/>
                <w:sz w:val="17"/>
                <w:szCs w:val="17"/>
              </w:rPr>
            </w:pPr>
            <w:r>
              <w:rPr>
                <w:b/>
                <w:bCs/>
                <w:sz w:val="17"/>
                <w:szCs w:val="17"/>
              </w:rPr>
              <w:t>Итого совокупный доход</w:t>
            </w:r>
          </w:p>
        </w:tc>
        <w:tc>
          <w:tcPr>
            <w:tcW w:w="1020" w:type="dxa"/>
            <w:tcBorders>
              <w:top w:val="single" w:sz="6" w:space="0" w:color="auto"/>
              <w:bottom w:val="single" w:sz="6" w:space="0" w:color="auto"/>
            </w:tcBorders>
            <w:vAlign w:val="bottom"/>
          </w:tcPr>
          <w:p w:rsidR="00FD06F3" w:rsidRDefault="0054425B">
            <w:pPr>
              <w:pStyle w:val="Tabletext"/>
              <w:widowControl w:val="0"/>
              <w:tabs>
                <w:tab w:val="decimal" w:pos="737"/>
              </w:tabs>
              <w:ind w:left="-108"/>
              <w:jc w:val="left"/>
              <w:rPr>
                <w:b/>
                <w:bCs/>
                <w:sz w:val="17"/>
                <w:szCs w:val="17"/>
              </w:rPr>
            </w:pPr>
            <w:r>
              <w:rPr>
                <w:b/>
                <w:bCs/>
                <w:sz w:val="17"/>
                <w:szCs w:val="17"/>
              </w:rPr>
              <w:t>–</w:t>
            </w:r>
          </w:p>
        </w:tc>
        <w:tc>
          <w:tcPr>
            <w:tcW w:w="1020" w:type="dxa"/>
            <w:tcBorders>
              <w:top w:val="single" w:sz="6" w:space="0" w:color="auto"/>
              <w:bottom w:val="single" w:sz="6" w:space="0" w:color="auto"/>
            </w:tcBorders>
            <w:vAlign w:val="bottom"/>
          </w:tcPr>
          <w:p w:rsidR="00FD06F3" w:rsidRDefault="0054425B">
            <w:pPr>
              <w:pStyle w:val="Tabletext"/>
              <w:widowControl w:val="0"/>
              <w:tabs>
                <w:tab w:val="decimal" w:pos="737"/>
              </w:tabs>
              <w:ind w:left="-108"/>
              <w:jc w:val="left"/>
              <w:rPr>
                <w:b/>
                <w:bCs/>
                <w:sz w:val="17"/>
                <w:szCs w:val="17"/>
              </w:rPr>
            </w:pPr>
            <w:r>
              <w:rPr>
                <w:b/>
                <w:bCs/>
                <w:sz w:val="17"/>
                <w:szCs w:val="17"/>
              </w:rPr>
              <w:t>–</w:t>
            </w:r>
          </w:p>
        </w:tc>
        <w:tc>
          <w:tcPr>
            <w:tcW w:w="1020" w:type="dxa"/>
            <w:tcBorders>
              <w:top w:val="single" w:sz="6" w:space="0" w:color="auto"/>
              <w:bottom w:val="single" w:sz="6" w:space="0" w:color="auto"/>
            </w:tcBorders>
            <w:vAlign w:val="bottom"/>
          </w:tcPr>
          <w:p w:rsidR="00FD06F3" w:rsidRDefault="0054425B">
            <w:pPr>
              <w:pStyle w:val="Tabletext"/>
              <w:widowControl w:val="0"/>
              <w:tabs>
                <w:tab w:val="decimal" w:pos="737"/>
              </w:tabs>
              <w:ind w:left="-108"/>
              <w:jc w:val="left"/>
              <w:rPr>
                <w:b/>
                <w:bCs/>
                <w:sz w:val="17"/>
                <w:szCs w:val="17"/>
              </w:rPr>
            </w:pPr>
            <w:r>
              <w:rPr>
                <w:b/>
                <w:bCs/>
                <w:sz w:val="17"/>
                <w:szCs w:val="17"/>
              </w:rPr>
              <w:t>–</w:t>
            </w:r>
          </w:p>
        </w:tc>
        <w:tc>
          <w:tcPr>
            <w:tcW w:w="1021" w:type="dxa"/>
            <w:tcBorders>
              <w:top w:val="single" w:sz="6" w:space="0" w:color="auto"/>
              <w:bottom w:val="single" w:sz="6" w:space="0" w:color="auto"/>
            </w:tcBorders>
            <w:vAlign w:val="bottom"/>
          </w:tcPr>
          <w:p w:rsidR="00FD06F3" w:rsidRDefault="0054425B">
            <w:pPr>
              <w:widowControl w:val="0"/>
              <w:tabs>
                <w:tab w:val="decimal" w:pos="737"/>
              </w:tabs>
              <w:ind w:left="-108"/>
              <w:jc w:val="left"/>
              <w:rPr>
                <w:b/>
                <w:sz w:val="17"/>
                <w:szCs w:val="17"/>
              </w:rPr>
            </w:pPr>
            <w:r>
              <w:rPr>
                <w:b/>
                <w:sz w:val="17"/>
                <w:szCs w:val="17"/>
              </w:rPr>
              <w:t>188 026</w:t>
            </w:r>
          </w:p>
        </w:tc>
        <w:tc>
          <w:tcPr>
            <w:tcW w:w="1022" w:type="dxa"/>
            <w:tcBorders>
              <w:top w:val="single" w:sz="6" w:space="0" w:color="auto"/>
              <w:bottom w:val="single" w:sz="6" w:space="0" w:color="auto"/>
            </w:tcBorders>
            <w:vAlign w:val="bottom"/>
          </w:tcPr>
          <w:p w:rsidR="00FD06F3" w:rsidRDefault="0054425B">
            <w:pPr>
              <w:widowControl w:val="0"/>
              <w:tabs>
                <w:tab w:val="decimal" w:pos="737"/>
              </w:tabs>
              <w:ind w:left="-108"/>
              <w:jc w:val="left"/>
              <w:rPr>
                <w:b/>
                <w:sz w:val="17"/>
                <w:szCs w:val="17"/>
              </w:rPr>
            </w:pPr>
            <w:r>
              <w:rPr>
                <w:b/>
                <w:sz w:val="17"/>
                <w:szCs w:val="17"/>
              </w:rPr>
              <w:t>188 026</w:t>
            </w:r>
          </w:p>
        </w:tc>
        <w:tc>
          <w:tcPr>
            <w:tcW w:w="1020" w:type="dxa"/>
            <w:tcBorders>
              <w:top w:val="single" w:sz="6" w:space="0" w:color="auto"/>
              <w:bottom w:val="single" w:sz="6" w:space="0" w:color="auto"/>
            </w:tcBorders>
            <w:vAlign w:val="bottom"/>
          </w:tcPr>
          <w:p w:rsidR="00FD06F3" w:rsidRDefault="0054425B">
            <w:pPr>
              <w:widowControl w:val="0"/>
              <w:tabs>
                <w:tab w:val="decimal" w:pos="737"/>
              </w:tabs>
              <w:ind w:left="-108"/>
              <w:jc w:val="left"/>
              <w:rPr>
                <w:b/>
                <w:sz w:val="17"/>
                <w:szCs w:val="17"/>
              </w:rPr>
            </w:pPr>
            <w:r>
              <w:rPr>
                <w:b/>
                <w:sz w:val="17"/>
                <w:szCs w:val="17"/>
              </w:rPr>
              <w:t>(59 890)</w:t>
            </w:r>
          </w:p>
        </w:tc>
        <w:tc>
          <w:tcPr>
            <w:tcW w:w="1021" w:type="dxa"/>
            <w:tcBorders>
              <w:top w:val="single" w:sz="6" w:space="0" w:color="auto"/>
              <w:bottom w:val="single" w:sz="6" w:space="0" w:color="auto"/>
            </w:tcBorders>
            <w:vAlign w:val="bottom"/>
          </w:tcPr>
          <w:p w:rsidR="00FD06F3" w:rsidRDefault="0054425B">
            <w:pPr>
              <w:widowControl w:val="0"/>
              <w:tabs>
                <w:tab w:val="decimal" w:pos="737"/>
              </w:tabs>
              <w:ind w:left="-108"/>
              <w:jc w:val="left"/>
              <w:rPr>
                <w:b/>
                <w:sz w:val="17"/>
                <w:szCs w:val="17"/>
              </w:rPr>
            </w:pPr>
            <w:r>
              <w:rPr>
                <w:b/>
                <w:sz w:val="17"/>
                <w:szCs w:val="17"/>
              </w:rPr>
              <w:t>128 136</w:t>
            </w:r>
          </w:p>
        </w:tc>
      </w:tr>
      <w:tr w:rsidR="00FD06F3">
        <w:trPr>
          <w:trHeight w:val="23"/>
          <w:jc w:val="center"/>
        </w:trPr>
        <w:tc>
          <w:tcPr>
            <w:tcW w:w="2493" w:type="dxa"/>
            <w:vAlign w:val="bottom"/>
          </w:tcPr>
          <w:p w:rsidR="00FD06F3" w:rsidRDefault="0054425B">
            <w:pPr>
              <w:pStyle w:val="Tabletext"/>
              <w:widowControl w:val="0"/>
              <w:ind w:left="5" w:right="-108" w:hanging="113"/>
              <w:jc w:val="left"/>
              <w:rPr>
                <w:b/>
                <w:bCs/>
                <w:sz w:val="17"/>
                <w:szCs w:val="17"/>
              </w:rPr>
            </w:pPr>
            <w:r>
              <w:rPr>
                <w:b/>
                <w:bCs/>
                <w:sz w:val="17"/>
                <w:szCs w:val="17"/>
              </w:rPr>
              <w:t xml:space="preserve"> </w:t>
            </w:r>
          </w:p>
        </w:tc>
        <w:tc>
          <w:tcPr>
            <w:tcW w:w="1020" w:type="dxa"/>
            <w:tcBorders>
              <w:top w:val="single" w:sz="6" w:space="0" w:color="auto"/>
            </w:tcBorders>
            <w:vAlign w:val="bottom"/>
          </w:tcPr>
          <w:p w:rsidR="00FD06F3" w:rsidRDefault="00FD06F3">
            <w:pPr>
              <w:pStyle w:val="Tabletext"/>
              <w:widowControl w:val="0"/>
              <w:tabs>
                <w:tab w:val="decimal" w:pos="737"/>
              </w:tabs>
              <w:ind w:left="-108"/>
              <w:jc w:val="left"/>
              <w:rPr>
                <w:b/>
                <w:bCs/>
                <w:sz w:val="17"/>
                <w:szCs w:val="17"/>
              </w:rPr>
            </w:pPr>
          </w:p>
        </w:tc>
        <w:tc>
          <w:tcPr>
            <w:tcW w:w="1020" w:type="dxa"/>
            <w:tcBorders>
              <w:top w:val="single" w:sz="6" w:space="0" w:color="auto"/>
            </w:tcBorders>
            <w:vAlign w:val="bottom"/>
          </w:tcPr>
          <w:p w:rsidR="00FD06F3" w:rsidRDefault="00FD06F3">
            <w:pPr>
              <w:pStyle w:val="Tabletext"/>
              <w:widowControl w:val="0"/>
              <w:tabs>
                <w:tab w:val="decimal" w:pos="737"/>
              </w:tabs>
              <w:ind w:left="-108"/>
              <w:jc w:val="left"/>
              <w:rPr>
                <w:b/>
                <w:bCs/>
                <w:sz w:val="17"/>
                <w:szCs w:val="17"/>
              </w:rPr>
            </w:pPr>
          </w:p>
        </w:tc>
        <w:tc>
          <w:tcPr>
            <w:tcW w:w="1020" w:type="dxa"/>
            <w:tcBorders>
              <w:top w:val="single" w:sz="6" w:space="0" w:color="auto"/>
            </w:tcBorders>
            <w:vAlign w:val="bottom"/>
          </w:tcPr>
          <w:p w:rsidR="00FD06F3" w:rsidRDefault="00FD06F3">
            <w:pPr>
              <w:pStyle w:val="Tabletext"/>
              <w:widowControl w:val="0"/>
              <w:tabs>
                <w:tab w:val="decimal" w:pos="737"/>
              </w:tabs>
              <w:ind w:left="-108"/>
              <w:jc w:val="left"/>
              <w:rPr>
                <w:b/>
                <w:bCs/>
                <w:sz w:val="17"/>
                <w:szCs w:val="17"/>
              </w:rPr>
            </w:pPr>
          </w:p>
        </w:tc>
        <w:tc>
          <w:tcPr>
            <w:tcW w:w="1021" w:type="dxa"/>
            <w:tcBorders>
              <w:top w:val="single" w:sz="6" w:space="0" w:color="auto"/>
            </w:tcBorders>
            <w:vAlign w:val="bottom"/>
          </w:tcPr>
          <w:p w:rsidR="00FD06F3" w:rsidRDefault="00FD06F3">
            <w:pPr>
              <w:widowControl w:val="0"/>
              <w:tabs>
                <w:tab w:val="decimal" w:pos="737"/>
              </w:tabs>
              <w:ind w:left="-108"/>
              <w:jc w:val="left"/>
              <w:rPr>
                <w:b/>
                <w:sz w:val="17"/>
                <w:szCs w:val="17"/>
              </w:rPr>
            </w:pPr>
          </w:p>
        </w:tc>
        <w:tc>
          <w:tcPr>
            <w:tcW w:w="1022" w:type="dxa"/>
            <w:tcBorders>
              <w:top w:val="single" w:sz="6" w:space="0" w:color="auto"/>
            </w:tcBorders>
            <w:vAlign w:val="bottom"/>
          </w:tcPr>
          <w:p w:rsidR="00FD06F3" w:rsidRDefault="00FD06F3">
            <w:pPr>
              <w:widowControl w:val="0"/>
              <w:tabs>
                <w:tab w:val="decimal" w:pos="737"/>
              </w:tabs>
              <w:ind w:left="-108"/>
              <w:jc w:val="left"/>
              <w:rPr>
                <w:b/>
                <w:sz w:val="17"/>
                <w:szCs w:val="17"/>
              </w:rPr>
            </w:pPr>
          </w:p>
        </w:tc>
        <w:tc>
          <w:tcPr>
            <w:tcW w:w="1020" w:type="dxa"/>
            <w:tcBorders>
              <w:top w:val="single" w:sz="6" w:space="0" w:color="auto"/>
            </w:tcBorders>
            <w:vAlign w:val="bottom"/>
          </w:tcPr>
          <w:p w:rsidR="00FD06F3" w:rsidRDefault="00FD06F3">
            <w:pPr>
              <w:widowControl w:val="0"/>
              <w:tabs>
                <w:tab w:val="decimal" w:pos="737"/>
              </w:tabs>
              <w:ind w:left="-108"/>
              <w:jc w:val="left"/>
              <w:rPr>
                <w:b/>
                <w:sz w:val="17"/>
                <w:szCs w:val="17"/>
              </w:rPr>
            </w:pPr>
          </w:p>
        </w:tc>
        <w:tc>
          <w:tcPr>
            <w:tcW w:w="1021" w:type="dxa"/>
            <w:tcBorders>
              <w:top w:val="single" w:sz="6" w:space="0" w:color="auto"/>
            </w:tcBorders>
            <w:vAlign w:val="bottom"/>
          </w:tcPr>
          <w:p w:rsidR="00FD06F3" w:rsidRDefault="00FD06F3">
            <w:pPr>
              <w:widowControl w:val="0"/>
              <w:tabs>
                <w:tab w:val="decimal" w:pos="737"/>
              </w:tabs>
              <w:ind w:left="-108"/>
              <w:jc w:val="left"/>
              <w:rPr>
                <w:b/>
                <w:bCs/>
                <w:sz w:val="17"/>
                <w:szCs w:val="17"/>
              </w:rPr>
            </w:pPr>
          </w:p>
        </w:tc>
      </w:tr>
      <w:tr w:rsidR="00FD06F3">
        <w:trPr>
          <w:trHeight w:val="23"/>
          <w:jc w:val="center"/>
        </w:trPr>
        <w:tc>
          <w:tcPr>
            <w:tcW w:w="2493" w:type="dxa"/>
            <w:vAlign w:val="bottom"/>
          </w:tcPr>
          <w:p w:rsidR="00FD06F3" w:rsidRDefault="0054425B">
            <w:pPr>
              <w:pStyle w:val="Tabletext"/>
              <w:widowControl w:val="0"/>
              <w:ind w:left="5" w:right="-108" w:hanging="113"/>
              <w:jc w:val="left"/>
              <w:rPr>
                <w:sz w:val="17"/>
                <w:szCs w:val="17"/>
              </w:rPr>
            </w:pPr>
            <w:r>
              <w:rPr>
                <w:sz w:val="17"/>
                <w:szCs w:val="17"/>
              </w:rPr>
              <w:t xml:space="preserve">Взнос в капитал дочерней </w:t>
            </w:r>
            <w:r>
              <w:rPr>
                <w:sz w:val="17"/>
                <w:szCs w:val="17"/>
              </w:rPr>
              <w:t>компании (Прим. 18.11)</w:t>
            </w:r>
          </w:p>
        </w:tc>
        <w:tc>
          <w:tcPr>
            <w:tcW w:w="1020" w:type="dxa"/>
            <w:tcBorders>
              <w:bottom w:val="single" w:sz="6" w:space="0" w:color="auto"/>
            </w:tcBorders>
            <w:vAlign w:val="bottom"/>
          </w:tcPr>
          <w:p w:rsidR="00FD06F3" w:rsidRDefault="0054425B">
            <w:pPr>
              <w:pStyle w:val="Tabletext"/>
              <w:widowControl w:val="0"/>
              <w:tabs>
                <w:tab w:val="decimal" w:pos="737"/>
              </w:tabs>
              <w:ind w:left="-108"/>
              <w:jc w:val="left"/>
              <w:rPr>
                <w:sz w:val="17"/>
                <w:szCs w:val="17"/>
              </w:rPr>
            </w:pPr>
            <w:r>
              <w:rPr>
                <w:sz w:val="17"/>
                <w:szCs w:val="17"/>
              </w:rPr>
              <w:t>–</w:t>
            </w:r>
          </w:p>
        </w:tc>
        <w:tc>
          <w:tcPr>
            <w:tcW w:w="1020" w:type="dxa"/>
            <w:tcBorders>
              <w:bottom w:val="single" w:sz="6" w:space="0" w:color="auto"/>
            </w:tcBorders>
            <w:vAlign w:val="bottom"/>
          </w:tcPr>
          <w:p w:rsidR="00FD06F3" w:rsidRDefault="0054425B">
            <w:pPr>
              <w:pStyle w:val="Tabletext"/>
              <w:widowControl w:val="0"/>
              <w:tabs>
                <w:tab w:val="decimal" w:pos="737"/>
              </w:tabs>
              <w:ind w:left="-108"/>
              <w:jc w:val="left"/>
              <w:rPr>
                <w:sz w:val="17"/>
                <w:szCs w:val="17"/>
              </w:rPr>
            </w:pPr>
            <w:r>
              <w:rPr>
                <w:sz w:val="17"/>
                <w:szCs w:val="17"/>
              </w:rPr>
              <w:t>–</w:t>
            </w:r>
          </w:p>
        </w:tc>
        <w:tc>
          <w:tcPr>
            <w:tcW w:w="1020" w:type="dxa"/>
            <w:tcBorders>
              <w:bottom w:val="single" w:sz="6" w:space="0" w:color="auto"/>
            </w:tcBorders>
            <w:vAlign w:val="bottom"/>
          </w:tcPr>
          <w:p w:rsidR="00FD06F3" w:rsidRDefault="0054425B">
            <w:pPr>
              <w:pStyle w:val="Tabletext"/>
              <w:widowControl w:val="0"/>
              <w:tabs>
                <w:tab w:val="decimal" w:pos="737"/>
              </w:tabs>
              <w:ind w:left="-108"/>
              <w:jc w:val="left"/>
              <w:rPr>
                <w:sz w:val="17"/>
                <w:szCs w:val="17"/>
              </w:rPr>
            </w:pPr>
            <w:r>
              <w:rPr>
                <w:bCs/>
                <w:sz w:val="17"/>
                <w:szCs w:val="17"/>
              </w:rPr>
              <w:t>–</w:t>
            </w:r>
          </w:p>
        </w:tc>
        <w:tc>
          <w:tcPr>
            <w:tcW w:w="1021" w:type="dxa"/>
            <w:tcBorders>
              <w:bottom w:val="single" w:sz="6" w:space="0" w:color="auto"/>
            </w:tcBorders>
            <w:vAlign w:val="bottom"/>
          </w:tcPr>
          <w:p w:rsidR="00FD06F3" w:rsidRDefault="0054425B">
            <w:pPr>
              <w:pStyle w:val="Tabletext"/>
              <w:widowControl w:val="0"/>
              <w:tabs>
                <w:tab w:val="decimal" w:pos="737"/>
              </w:tabs>
              <w:ind w:left="-108"/>
              <w:jc w:val="left"/>
              <w:rPr>
                <w:sz w:val="17"/>
                <w:szCs w:val="17"/>
              </w:rPr>
            </w:pPr>
            <w:r>
              <w:rPr>
                <w:sz w:val="17"/>
                <w:szCs w:val="17"/>
              </w:rPr>
              <w:t>–</w:t>
            </w:r>
          </w:p>
        </w:tc>
        <w:tc>
          <w:tcPr>
            <w:tcW w:w="1022" w:type="dxa"/>
            <w:tcBorders>
              <w:bottom w:val="single" w:sz="6" w:space="0" w:color="auto"/>
            </w:tcBorders>
            <w:vAlign w:val="bottom"/>
          </w:tcPr>
          <w:p w:rsidR="00FD06F3" w:rsidRDefault="0054425B">
            <w:pPr>
              <w:pStyle w:val="Tabletext"/>
              <w:widowControl w:val="0"/>
              <w:tabs>
                <w:tab w:val="decimal" w:pos="737"/>
              </w:tabs>
              <w:ind w:left="-108"/>
              <w:jc w:val="left"/>
              <w:rPr>
                <w:b/>
                <w:sz w:val="17"/>
                <w:szCs w:val="17"/>
              </w:rPr>
            </w:pPr>
            <w:r>
              <w:rPr>
                <w:b/>
                <w:bCs/>
                <w:sz w:val="17"/>
                <w:szCs w:val="17"/>
              </w:rPr>
              <w:t>–</w:t>
            </w:r>
          </w:p>
        </w:tc>
        <w:tc>
          <w:tcPr>
            <w:tcW w:w="1020" w:type="dxa"/>
            <w:tcBorders>
              <w:bottom w:val="single" w:sz="6" w:space="0" w:color="auto"/>
            </w:tcBorders>
            <w:vAlign w:val="bottom"/>
          </w:tcPr>
          <w:p w:rsidR="00FD06F3" w:rsidRDefault="0054425B">
            <w:pPr>
              <w:tabs>
                <w:tab w:val="decimal" w:pos="737"/>
              </w:tabs>
              <w:ind w:left="-108"/>
              <w:jc w:val="left"/>
              <w:rPr>
                <w:sz w:val="17"/>
                <w:szCs w:val="17"/>
              </w:rPr>
            </w:pPr>
            <w:r>
              <w:rPr>
                <w:sz w:val="17"/>
                <w:szCs w:val="17"/>
              </w:rPr>
              <w:t>79 380</w:t>
            </w:r>
          </w:p>
        </w:tc>
        <w:tc>
          <w:tcPr>
            <w:tcW w:w="1021" w:type="dxa"/>
            <w:tcBorders>
              <w:bottom w:val="single" w:sz="6" w:space="0" w:color="auto"/>
            </w:tcBorders>
            <w:vAlign w:val="bottom"/>
          </w:tcPr>
          <w:p w:rsidR="00FD06F3" w:rsidRDefault="0054425B">
            <w:pPr>
              <w:tabs>
                <w:tab w:val="decimal" w:pos="737"/>
              </w:tabs>
              <w:ind w:left="-108"/>
              <w:jc w:val="left"/>
              <w:rPr>
                <w:b/>
                <w:bCs/>
                <w:sz w:val="17"/>
                <w:szCs w:val="17"/>
              </w:rPr>
            </w:pPr>
            <w:r>
              <w:rPr>
                <w:b/>
                <w:bCs/>
                <w:sz w:val="17"/>
                <w:szCs w:val="17"/>
              </w:rPr>
              <w:t>79 380</w:t>
            </w:r>
          </w:p>
        </w:tc>
      </w:tr>
      <w:tr w:rsidR="00FD06F3">
        <w:trPr>
          <w:trHeight w:val="23"/>
          <w:jc w:val="center"/>
        </w:trPr>
        <w:tc>
          <w:tcPr>
            <w:tcW w:w="2493" w:type="dxa"/>
            <w:vAlign w:val="bottom"/>
          </w:tcPr>
          <w:p w:rsidR="00FD06F3" w:rsidRDefault="0054425B">
            <w:pPr>
              <w:pStyle w:val="Tabletext"/>
              <w:widowControl w:val="0"/>
              <w:ind w:left="5" w:right="-108" w:hanging="113"/>
              <w:jc w:val="left"/>
              <w:rPr>
                <w:sz w:val="17"/>
                <w:szCs w:val="17"/>
              </w:rPr>
            </w:pPr>
            <w:r>
              <w:rPr>
                <w:b/>
                <w:bCs/>
                <w:sz w:val="17"/>
                <w:szCs w:val="17"/>
              </w:rPr>
              <w:t>На 31 декабря 2016 г.</w:t>
            </w:r>
          </w:p>
        </w:tc>
        <w:tc>
          <w:tcPr>
            <w:tcW w:w="1020" w:type="dxa"/>
            <w:tcBorders>
              <w:top w:val="single" w:sz="6" w:space="0" w:color="auto"/>
              <w:bottom w:val="single" w:sz="6" w:space="0" w:color="auto"/>
            </w:tcBorders>
            <w:vAlign w:val="bottom"/>
          </w:tcPr>
          <w:p w:rsidR="00FD06F3" w:rsidRDefault="0054425B">
            <w:pPr>
              <w:widowControl w:val="0"/>
              <w:tabs>
                <w:tab w:val="decimal" w:pos="737"/>
              </w:tabs>
              <w:ind w:left="-108"/>
              <w:jc w:val="left"/>
              <w:rPr>
                <w:b/>
                <w:bCs/>
                <w:sz w:val="17"/>
                <w:szCs w:val="17"/>
              </w:rPr>
            </w:pPr>
            <w:r>
              <w:rPr>
                <w:b/>
                <w:bCs/>
                <w:sz w:val="17"/>
                <w:szCs w:val="17"/>
              </w:rPr>
              <w:t>11 023</w:t>
            </w:r>
          </w:p>
        </w:tc>
        <w:tc>
          <w:tcPr>
            <w:tcW w:w="1020" w:type="dxa"/>
            <w:tcBorders>
              <w:top w:val="single" w:sz="6" w:space="0" w:color="auto"/>
              <w:bottom w:val="single" w:sz="6" w:space="0" w:color="auto"/>
            </w:tcBorders>
            <w:vAlign w:val="bottom"/>
          </w:tcPr>
          <w:p w:rsidR="00FD06F3" w:rsidRDefault="0054425B">
            <w:pPr>
              <w:widowControl w:val="0"/>
              <w:tabs>
                <w:tab w:val="decimal" w:pos="737"/>
              </w:tabs>
              <w:ind w:left="-108"/>
              <w:jc w:val="left"/>
              <w:rPr>
                <w:b/>
                <w:bCs/>
                <w:sz w:val="17"/>
                <w:szCs w:val="17"/>
              </w:rPr>
            </w:pPr>
            <w:r>
              <w:rPr>
                <w:b/>
                <w:bCs/>
                <w:sz w:val="17"/>
                <w:szCs w:val="17"/>
              </w:rPr>
              <w:t>2 246 239</w:t>
            </w:r>
          </w:p>
        </w:tc>
        <w:tc>
          <w:tcPr>
            <w:tcW w:w="1020" w:type="dxa"/>
            <w:tcBorders>
              <w:top w:val="single" w:sz="6" w:space="0" w:color="auto"/>
              <w:bottom w:val="single" w:sz="6" w:space="0" w:color="auto"/>
            </w:tcBorders>
            <w:vAlign w:val="bottom"/>
          </w:tcPr>
          <w:p w:rsidR="00FD06F3" w:rsidRDefault="0054425B">
            <w:pPr>
              <w:widowControl w:val="0"/>
              <w:tabs>
                <w:tab w:val="decimal" w:pos="737"/>
              </w:tabs>
              <w:ind w:left="-108"/>
              <w:jc w:val="left"/>
              <w:rPr>
                <w:b/>
                <w:bCs/>
                <w:sz w:val="17"/>
                <w:szCs w:val="17"/>
              </w:rPr>
            </w:pPr>
            <w:r>
              <w:rPr>
                <w:b/>
                <w:bCs/>
                <w:sz w:val="17"/>
                <w:szCs w:val="17"/>
              </w:rPr>
              <w:t>154 905</w:t>
            </w:r>
          </w:p>
        </w:tc>
        <w:tc>
          <w:tcPr>
            <w:tcW w:w="1021" w:type="dxa"/>
            <w:tcBorders>
              <w:top w:val="single" w:sz="6" w:space="0" w:color="auto"/>
              <w:bottom w:val="single" w:sz="6" w:space="0" w:color="auto"/>
            </w:tcBorders>
            <w:vAlign w:val="bottom"/>
          </w:tcPr>
          <w:p w:rsidR="00FD06F3" w:rsidRDefault="0054425B">
            <w:pPr>
              <w:tabs>
                <w:tab w:val="decimal" w:pos="737"/>
              </w:tabs>
              <w:ind w:left="-108"/>
              <w:jc w:val="left"/>
              <w:rPr>
                <w:b/>
                <w:bCs/>
                <w:sz w:val="17"/>
                <w:szCs w:val="17"/>
              </w:rPr>
            </w:pPr>
            <w:r>
              <w:rPr>
                <w:b/>
                <w:bCs/>
                <w:sz w:val="17"/>
                <w:szCs w:val="17"/>
              </w:rPr>
              <w:t>5 304 893</w:t>
            </w:r>
          </w:p>
        </w:tc>
        <w:tc>
          <w:tcPr>
            <w:tcW w:w="1022" w:type="dxa"/>
            <w:tcBorders>
              <w:top w:val="single" w:sz="6" w:space="0" w:color="auto"/>
              <w:bottom w:val="single" w:sz="6" w:space="0" w:color="auto"/>
            </w:tcBorders>
            <w:vAlign w:val="bottom"/>
          </w:tcPr>
          <w:p w:rsidR="00FD06F3" w:rsidRDefault="0054425B">
            <w:pPr>
              <w:tabs>
                <w:tab w:val="decimal" w:pos="737"/>
              </w:tabs>
              <w:ind w:left="-108"/>
              <w:jc w:val="left"/>
              <w:rPr>
                <w:b/>
                <w:bCs/>
                <w:sz w:val="17"/>
                <w:szCs w:val="17"/>
              </w:rPr>
            </w:pPr>
            <w:r>
              <w:rPr>
                <w:b/>
                <w:bCs/>
                <w:sz w:val="17"/>
                <w:szCs w:val="17"/>
              </w:rPr>
              <w:t>7 717 060</w:t>
            </w:r>
          </w:p>
        </w:tc>
        <w:tc>
          <w:tcPr>
            <w:tcW w:w="1020" w:type="dxa"/>
            <w:tcBorders>
              <w:top w:val="single" w:sz="6" w:space="0" w:color="auto"/>
              <w:bottom w:val="single" w:sz="6" w:space="0" w:color="auto"/>
            </w:tcBorders>
            <w:vAlign w:val="bottom"/>
          </w:tcPr>
          <w:p w:rsidR="00FD06F3" w:rsidRDefault="0054425B">
            <w:pPr>
              <w:tabs>
                <w:tab w:val="decimal" w:pos="737"/>
              </w:tabs>
              <w:ind w:left="-108"/>
              <w:jc w:val="left"/>
              <w:rPr>
                <w:b/>
                <w:bCs/>
                <w:sz w:val="17"/>
                <w:szCs w:val="17"/>
              </w:rPr>
            </w:pPr>
            <w:r>
              <w:rPr>
                <w:b/>
                <w:bCs/>
                <w:sz w:val="17"/>
                <w:szCs w:val="17"/>
              </w:rPr>
              <w:t>411 421</w:t>
            </w:r>
          </w:p>
        </w:tc>
        <w:tc>
          <w:tcPr>
            <w:tcW w:w="1021" w:type="dxa"/>
            <w:tcBorders>
              <w:top w:val="single" w:sz="6" w:space="0" w:color="auto"/>
              <w:bottom w:val="single" w:sz="6" w:space="0" w:color="auto"/>
            </w:tcBorders>
            <w:vAlign w:val="bottom"/>
          </w:tcPr>
          <w:p w:rsidR="00FD06F3" w:rsidRDefault="0054425B">
            <w:pPr>
              <w:tabs>
                <w:tab w:val="decimal" w:pos="737"/>
              </w:tabs>
              <w:ind w:left="-108"/>
              <w:jc w:val="left"/>
              <w:rPr>
                <w:b/>
                <w:bCs/>
                <w:sz w:val="17"/>
                <w:szCs w:val="17"/>
              </w:rPr>
            </w:pPr>
            <w:r>
              <w:rPr>
                <w:b/>
                <w:bCs/>
                <w:sz w:val="17"/>
                <w:szCs w:val="17"/>
              </w:rPr>
              <w:t>8 128 481</w:t>
            </w:r>
          </w:p>
        </w:tc>
      </w:tr>
      <w:tr w:rsidR="00FD06F3">
        <w:trPr>
          <w:trHeight w:val="23"/>
          <w:jc w:val="center"/>
        </w:trPr>
        <w:tc>
          <w:tcPr>
            <w:tcW w:w="2493" w:type="dxa"/>
            <w:vAlign w:val="bottom"/>
          </w:tcPr>
          <w:p w:rsidR="00FD06F3" w:rsidRDefault="0054425B">
            <w:pPr>
              <w:pStyle w:val="Tabletext"/>
              <w:widowControl w:val="0"/>
              <w:ind w:left="5" w:right="-108" w:hanging="113"/>
              <w:jc w:val="left"/>
              <w:rPr>
                <w:b/>
                <w:bCs/>
                <w:sz w:val="17"/>
                <w:szCs w:val="17"/>
              </w:rPr>
            </w:pPr>
            <w:r>
              <w:rPr>
                <w:b/>
                <w:bCs/>
                <w:sz w:val="17"/>
                <w:szCs w:val="17"/>
              </w:rPr>
              <w:t xml:space="preserve"> </w:t>
            </w:r>
          </w:p>
        </w:tc>
        <w:tc>
          <w:tcPr>
            <w:tcW w:w="1020" w:type="dxa"/>
            <w:tcBorders>
              <w:top w:val="single" w:sz="6" w:space="0" w:color="auto"/>
            </w:tcBorders>
            <w:vAlign w:val="bottom"/>
          </w:tcPr>
          <w:p w:rsidR="00FD06F3" w:rsidRDefault="00FD06F3">
            <w:pPr>
              <w:widowControl w:val="0"/>
              <w:tabs>
                <w:tab w:val="decimal" w:pos="737"/>
              </w:tabs>
              <w:ind w:left="-108"/>
              <w:jc w:val="left"/>
              <w:rPr>
                <w:b/>
                <w:bCs/>
                <w:sz w:val="17"/>
                <w:szCs w:val="17"/>
              </w:rPr>
            </w:pPr>
          </w:p>
        </w:tc>
        <w:tc>
          <w:tcPr>
            <w:tcW w:w="1020" w:type="dxa"/>
            <w:tcBorders>
              <w:top w:val="single" w:sz="6" w:space="0" w:color="auto"/>
            </w:tcBorders>
            <w:vAlign w:val="bottom"/>
          </w:tcPr>
          <w:p w:rsidR="00FD06F3" w:rsidRDefault="00FD06F3">
            <w:pPr>
              <w:widowControl w:val="0"/>
              <w:tabs>
                <w:tab w:val="decimal" w:pos="737"/>
              </w:tabs>
              <w:ind w:left="-108"/>
              <w:jc w:val="left"/>
              <w:rPr>
                <w:b/>
                <w:bCs/>
                <w:sz w:val="17"/>
                <w:szCs w:val="17"/>
              </w:rPr>
            </w:pPr>
          </w:p>
        </w:tc>
        <w:tc>
          <w:tcPr>
            <w:tcW w:w="1020" w:type="dxa"/>
            <w:tcBorders>
              <w:top w:val="single" w:sz="6" w:space="0" w:color="auto"/>
            </w:tcBorders>
            <w:vAlign w:val="bottom"/>
          </w:tcPr>
          <w:p w:rsidR="00FD06F3" w:rsidRDefault="00FD06F3">
            <w:pPr>
              <w:widowControl w:val="0"/>
              <w:tabs>
                <w:tab w:val="decimal" w:pos="737"/>
              </w:tabs>
              <w:ind w:left="-108"/>
              <w:jc w:val="left"/>
              <w:rPr>
                <w:b/>
                <w:bCs/>
                <w:sz w:val="17"/>
                <w:szCs w:val="17"/>
              </w:rPr>
            </w:pPr>
          </w:p>
        </w:tc>
        <w:tc>
          <w:tcPr>
            <w:tcW w:w="1021" w:type="dxa"/>
            <w:tcBorders>
              <w:top w:val="single" w:sz="6" w:space="0" w:color="auto"/>
            </w:tcBorders>
            <w:vAlign w:val="bottom"/>
          </w:tcPr>
          <w:p w:rsidR="00FD06F3" w:rsidRDefault="00FD06F3">
            <w:pPr>
              <w:widowControl w:val="0"/>
              <w:tabs>
                <w:tab w:val="decimal" w:pos="737"/>
              </w:tabs>
              <w:ind w:left="-108"/>
              <w:jc w:val="left"/>
              <w:rPr>
                <w:b/>
                <w:bCs/>
                <w:sz w:val="17"/>
                <w:szCs w:val="17"/>
              </w:rPr>
            </w:pPr>
          </w:p>
        </w:tc>
        <w:tc>
          <w:tcPr>
            <w:tcW w:w="1022" w:type="dxa"/>
            <w:tcBorders>
              <w:top w:val="single" w:sz="6" w:space="0" w:color="auto"/>
            </w:tcBorders>
            <w:vAlign w:val="bottom"/>
          </w:tcPr>
          <w:p w:rsidR="00FD06F3" w:rsidRDefault="00FD06F3">
            <w:pPr>
              <w:widowControl w:val="0"/>
              <w:tabs>
                <w:tab w:val="decimal" w:pos="737"/>
              </w:tabs>
              <w:ind w:left="-108"/>
              <w:jc w:val="left"/>
              <w:rPr>
                <w:b/>
                <w:bCs/>
                <w:sz w:val="17"/>
                <w:szCs w:val="17"/>
              </w:rPr>
            </w:pPr>
          </w:p>
        </w:tc>
        <w:tc>
          <w:tcPr>
            <w:tcW w:w="1020" w:type="dxa"/>
            <w:tcBorders>
              <w:top w:val="single" w:sz="6" w:space="0" w:color="auto"/>
            </w:tcBorders>
            <w:vAlign w:val="bottom"/>
          </w:tcPr>
          <w:p w:rsidR="00FD06F3" w:rsidRDefault="00FD06F3">
            <w:pPr>
              <w:widowControl w:val="0"/>
              <w:tabs>
                <w:tab w:val="decimal" w:pos="737"/>
              </w:tabs>
              <w:ind w:left="-108"/>
              <w:jc w:val="left"/>
              <w:rPr>
                <w:b/>
                <w:bCs/>
                <w:sz w:val="17"/>
                <w:szCs w:val="17"/>
              </w:rPr>
            </w:pPr>
          </w:p>
        </w:tc>
        <w:tc>
          <w:tcPr>
            <w:tcW w:w="1021" w:type="dxa"/>
            <w:tcBorders>
              <w:top w:val="single" w:sz="6" w:space="0" w:color="auto"/>
            </w:tcBorders>
            <w:vAlign w:val="bottom"/>
          </w:tcPr>
          <w:p w:rsidR="00FD06F3" w:rsidRDefault="00FD06F3">
            <w:pPr>
              <w:widowControl w:val="0"/>
              <w:tabs>
                <w:tab w:val="decimal" w:pos="737"/>
              </w:tabs>
              <w:ind w:left="-108"/>
              <w:jc w:val="left"/>
              <w:rPr>
                <w:b/>
                <w:bCs/>
                <w:sz w:val="17"/>
                <w:szCs w:val="17"/>
              </w:rPr>
            </w:pPr>
          </w:p>
        </w:tc>
      </w:tr>
      <w:tr w:rsidR="00FD06F3">
        <w:trPr>
          <w:trHeight w:val="23"/>
          <w:jc w:val="center"/>
        </w:trPr>
        <w:tc>
          <w:tcPr>
            <w:tcW w:w="2493" w:type="dxa"/>
            <w:vAlign w:val="bottom"/>
          </w:tcPr>
          <w:p w:rsidR="00FD06F3" w:rsidRDefault="0054425B">
            <w:pPr>
              <w:pStyle w:val="Tabletext"/>
              <w:widowControl w:val="0"/>
              <w:ind w:left="5" w:right="-108" w:hanging="113"/>
              <w:jc w:val="left"/>
              <w:rPr>
                <w:b/>
                <w:bCs/>
                <w:sz w:val="17"/>
                <w:szCs w:val="17"/>
              </w:rPr>
            </w:pPr>
            <w:r>
              <w:rPr>
                <w:sz w:val="17"/>
                <w:szCs w:val="17"/>
              </w:rPr>
              <w:t>Прибыль за год</w:t>
            </w:r>
          </w:p>
        </w:tc>
        <w:tc>
          <w:tcPr>
            <w:tcW w:w="1020" w:type="dxa"/>
            <w:tcBorders>
              <w:bottom w:val="single" w:sz="6" w:space="0" w:color="auto"/>
            </w:tcBorders>
            <w:vAlign w:val="bottom"/>
          </w:tcPr>
          <w:p w:rsidR="00FD06F3" w:rsidRDefault="0054425B">
            <w:pPr>
              <w:pStyle w:val="Tabletext"/>
              <w:widowControl w:val="0"/>
              <w:tabs>
                <w:tab w:val="decimal" w:pos="737"/>
              </w:tabs>
              <w:ind w:left="-108"/>
              <w:jc w:val="left"/>
              <w:rPr>
                <w:sz w:val="17"/>
                <w:szCs w:val="17"/>
              </w:rPr>
            </w:pPr>
            <w:r>
              <w:rPr>
                <w:sz w:val="17"/>
                <w:szCs w:val="17"/>
              </w:rPr>
              <w:t>–</w:t>
            </w:r>
          </w:p>
        </w:tc>
        <w:tc>
          <w:tcPr>
            <w:tcW w:w="1020" w:type="dxa"/>
            <w:tcBorders>
              <w:bottom w:val="single" w:sz="6" w:space="0" w:color="auto"/>
            </w:tcBorders>
            <w:vAlign w:val="bottom"/>
          </w:tcPr>
          <w:p w:rsidR="00FD06F3" w:rsidRDefault="0054425B">
            <w:pPr>
              <w:pStyle w:val="Tabletext"/>
              <w:widowControl w:val="0"/>
              <w:tabs>
                <w:tab w:val="decimal" w:pos="737"/>
              </w:tabs>
              <w:ind w:left="-108"/>
              <w:jc w:val="left"/>
              <w:rPr>
                <w:sz w:val="17"/>
                <w:szCs w:val="17"/>
              </w:rPr>
            </w:pPr>
            <w:r>
              <w:rPr>
                <w:sz w:val="17"/>
                <w:szCs w:val="17"/>
              </w:rPr>
              <w:t>–</w:t>
            </w:r>
          </w:p>
        </w:tc>
        <w:tc>
          <w:tcPr>
            <w:tcW w:w="1020" w:type="dxa"/>
            <w:tcBorders>
              <w:bottom w:val="single" w:sz="6" w:space="0" w:color="auto"/>
            </w:tcBorders>
            <w:vAlign w:val="bottom"/>
          </w:tcPr>
          <w:p w:rsidR="00FD06F3" w:rsidRDefault="0054425B">
            <w:pPr>
              <w:pStyle w:val="Tabletext"/>
              <w:widowControl w:val="0"/>
              <w:tabs>
                <w:tab w:val="decimal" w:pos="737"/>
              </w:tabs>
              <w:ind w:left="-108"/>
              <w:jc w:val="left"/>
              <w:rPr>
                <w:sz w:val="17"/>
                <w:szCs w:val="17"/>
              </w:rPr>
            </w:pPr>
            <w:r>
              <w:rPr>
                <w:sz w:val="17"/>
                <w:szCs w:val="17"/>
              </w:rPr>
              <w:t>–</w:t>
            </w:r>
          </w:p>
        </w:tc>
        <w:tc>
          <w:tcPr>
            <w:tcW w:w="1021" w:type="dxa"/>
            <w:tcBorders>
              <w:bottom w:val="single" w:sz="6" w:space="0" w:color="auto"/>
            </w:tcBorders>
            <w:vAlign w:val="bottom"/>
          </w:tcPr>
          <w:p w:rsidR="00FD06F3" w:rsidRDefault="0054425B">
            <w:pPr>
              <w:widowControl w:val="0"/>
              <w:tabs>
                <w:tab w:val="decimal" w:pos="737"/>
              </w:tabs>
              <w:ind w:left="-108"/>
              <w:jc w:val="left"/>
              <w:rPr>
                <w:sz w:val="17"/>
                <w:szCs w:val="17"/>
              </w:rPr>
            </w:pPr>
            <w:r>
              <w:rPr>
                <w:sz w:val="17"/>
                <w:szCs w:val="17"/>
              </w:rPr>
              <w:t>1 061 666</w:t>
            </w:r>
          </w:p>
        </w:tc>
        <w:tc>
          <w:tcPr>
            <w:tcW w:w="1022" w:type="dxa"/>
            <w:tcBorders>
              <w:bottom w:val="single" w:sz="6" w:space="0" w:color="auto"/>
            </w:tcBorders>
            <w:vAlign w:val="bottom"/>
          </w:tcPr>
          <w:p w:rsidR="00FD06F3" w:rsidRDefault="0054425B">
            <w:pPr>
              <w:widowControl w:val="0"/>
              <w:tabs>
                <w:tab w:val="decimal" w:pos="737"/>
              </w:tabs>
              <w:ind w:left="-108"/>
              <w:jc w:val="left"/>
              <w:rPr>
                <w:b/>
                <w:sz w:val="17"/>
                <w:szCs w:val="17"/>
              </w:rPr>
            </w:pPr>
            <w:r>
              <w:rPr>
                <w:b/>
                <w:sz w:val="17"/>
                <w:szCs w:val="17"/>
              </w:rPr>
              <w:t>1 061 666</w:t>
            </w:r>
          </w:p>
        </w:tc>
        <w:tc>
          <w:tcPr>
            <w:tcW w:w="1020" w:type="dxa"/>
            <w:tcBorders>
              <w:bottom w:val="single" w:sz="6" w:space="0" w:color="auto"/>
            </w:tcBorders>
            <w:vAlign w:val="bottom"/>
          </w:tcPr>
          <w:p w:rsidR="00FD06F3" w:rsidRDefault="0054425B">
            <w:pPr>
              <w:widowControl w:val="0"/>
              <w:tabs>
                <w:tab w:val="decimal" w:pos="737"/>
              </w:tabs>
              <w:ind w:left="-108"/>
              <w:jc w:val="left"/>
              <w:rPr>
                <w:sz w:val="17"/>
                <w:szCs w:val="17"/>
              </w:rPr>
            </w:pPr>
            <w:r>
              <w:rPr>
                <w:sz w:val="17"/>
                <w:szCs w:val="17"/>
              </w:rPr>
              <w:t>(26 971)</w:t>
            </w:r>
          </w:p>
        </w:tc>
        <w:tc>
          <w:tcPr>
            <w:tcW w:w="1021" w:type="dxa"/>
            <w:tcBorders>
              <w:bottom w:val="single" w:sz="6" w:space="0" w:color="auto"/>
            </w:tcBorders>
            <w:vAlign w:val="bottom"/>
          </w:tcPr>
          <w:p w:rsidR="00FD06F3" w:rsidRDefault="0054425B">
            <w:pPr>
              <w:widowControl w:val="0"/>
              <w:tabs>
                <w:tab w:val="decimal" w:pos="737"/>
              </w:tabs>
              <w:ind w:left="-108"/>
              <w:jc w:val="left"/>
              <w:rPr>
                <w:b/>
                <w:sz w:val="17"/>
                <w:szCs w:val="17"/>
              </w:rPr>
            </w:pPr>
            <w:r>
              <w:rPr>
                <w:b/>
                <w:sz w:val="17"/>
                <w:szCs w:val="17"/>
              </w:rPr>
              <w:t>1 034 695</w:t>
            </w:r>
          </w:p>
        </w:tc>
      </w:tr>
      <w:tr w:rsidR="00FD06F3">
        <w:trPr>
          <w:trHeight w:val="23"/>
          <w:jc w:val="center"/>
        </w:trPr>
        <w:tc>
          <w:tcPr>
            <w:tcW w:w="2493" w:type="dxa"/>
            <w:vAlign w:val="bottom"/>
          </w:tcPr>
          <w:p w:rsidR="00FD06F3" w:rsidRDefault="0054425B">
            <w:pPr>
              <w:pStyle w:val="Tabletext"/>
              <w:widowControl w:val="0"/>
              <w:ind w:left="5" w:right="-108" w:hanging="113"/>
              <w:jc w:val="left"/>
              <w:rPr>
                <w:b/>
                <w:bCs/>
                <w:sz w:val="17"/>
                <w:szCs w:val="17"/>
              </w:rPr>
            </w:pPr>
            <w:r>
              <w:rPr>
                <w:b/>
                <w:bCs/>
                <w:sz w:val="17"/>
                <w:szCs w:val="17"/>
              </w:rPr>
              <w:t>Итого совокупный доход</w:t>
            </w:r>
          </w:p>
        </w:tc>
        <w:tc>
          <w:tcPr>
            <w:tcW w:w="1020" w:type="dxa"/>
            <w:tcBorders>
              <w:top w:val="single" w:sz="6" w:space="0" w:color="auto"/>
            </w:tcBorders>
            <w:vAlign w:val="bottom"/>
          </w:tcPr>
          <w:p w:rsidR="00FD06F3" w:rsidRDefault="0054425B">
            <w:pPr>
              <w:pStyle w:val="Tabletext"/>
              <w:widowControl w:val="0"/>
              <w:tabs>
                <w:tab w:val="decimal" w:pos="737"/>
              </w:tabs>
              <w:ind w:left="-108"/>
              <w:jc w:val="left"/>
              <w:rPr>
                <w:b/>
                <w:bCs/>
                <w:sz w:val="17"/>
                <w:szCs w:val="17"/>
              </w:rPr>
            </w:pPr>
            <w:r>
              <w:rPr>
                <w:b/>
                <w:bCs/>
                <w:sz w:val="17"/>
                <w:szCs w:val="17"/>
              </w:rPr>
              <w:t>–</w:t>
            </w:r>
          </w:p>
        </w:tc>
        <w:tc>
          <w:tcPr>
            <w:tcW w:w="1020" w:type="dxa"/>
            <w:tcBorders>
              <w:top w:val="single" w:sz="6" w:space="0" w:color="auto"/>
            </w:tcBorders>
            <w:vAlign w:val="bottom"/>
          </w:tcPr>
          <w:p w:rsidR="00FD06F3" w:rsidRDefault="0054425B">
            <w:pPr>
              <w:pStyle w:val="Tabletext"/>
              <w:widowControl w:val="0"/>
              <w:tabs>
                <w:tab w:val="decimal" w:pos="737"/>
              </w:tabs>
              <w:ind w:left="-108"/>
              <w:jc w:val="left"/>
              <w:rPr>
                <w:b/>
                <w:bCs/>
                <w:sz w:val="17"/>
                <w:szCs w:val="17"/>
              </w:rPr>
            </w:pPr>
            <w:r>
              <w:rPr>
                <w:b/>
                <w:bCs/>
                <w:sz w:val="17"/>
                <w:szCs w:val="17"/>
              </w:rPr>
              <w:t>–</w:t>
            </w:r>
          </w:p>
        </w:tc>
        <w:tc>
          <w:tcPr>
            <w:tcW w:w="1020" w:type="dxa"/>
            <w:tcBorders>
              <w:top w:val="single" w:sz="6" w:space="0" w:color="auto"/>
            </w:tcBorders>
            <w:vAlign w:val="bottom"/>
          </w:tcPr>
          <w:p w:rsidR="00FD06F3" w:rsidRDefault="0054425B">
            <w:pPr>
              <w:pStyle w:val="Tabletext"/>
              <w:widowControl w:val="0"/>
              <w:tabs>
                <w:tab w:val="decimal" w:pos="737"/>
              </w:tabs>
              <w:ind w:left="-108"/>
              <w:jc w:val="left"/>
              <w:rPr>
                <w:b/>
                <w:bCs/>
                <w:sz w:val="17"/>
                <w:szCs w:val="17"/>
              </w:rPr>
            </w:pPr>
            <w:r>
              <w:rPr>
                <w:b/>
                <w:bCs/>
                <w:sz w:val="17"/>
                <w:szCs w:val="17"/>
              </w:rPr>
              <w:t>–</w:t>
            </w:r>
          </w:p>
        </w:tc>
        <w:tc>
          <w:tcPr>
            <w:tcW w:w="1021" w:type="dxa"/>
            <w:tcBorders>
              <w:top w:val="single" w:sz="6" w:space="0" w:color="auto"/>
            </w:tcBorders>
            <w:vAlign w:val="bottom"/>
          </w:tcPr>
          <w:p w:rsidR="00FD06F3" w:rsidRDefault="0054425B">
            <w:pPr>
              <w:widowControl w:val="0"/>
              <w:tabs>
                <w:tab w:val="decimal" w:pos="737"/>
              </w:tabs>
              <w:ind w:left="-108"/>
              <w:jc w:val="left"/>
              <w:rPr>
                <w:b/>
                <w:sz w:val="17"/>
                <w:szCs w:val="17"/>
              </w:rPr>
            </w:pPr>
            <w:r>
              <w:rPr>
                <w:b/>
                <w:sz w:val="17"/>
                <w:szCs w:val="17"/>
              </w:rPr>
              <w:t>1 061 666</w:t>
            </w:r>
          </w:p>
        </w:tc>
        <w:tc>
          <w:tcPr>
            <w:tcW w:w="1022" w:type="dxa"/>
            <w:tcBorders>
              <w:top w:val="single" w:sz="6" w:space="0" w:color="auto"/>
            </w:tcBorders>
            <w:vAlign w:val="bottom"/>
          </w:tcPr>
          <w:p w:rsidR="00FD06F3" w:rsidRDefault="0054425B">
            <w:pPr>
              <w:widowControl w:val="0"/>
              <w:tabs>
                <w:tab w:val="decimal" w:pos="737"/>
              </w:tabs>
              <w:ind w:left="-108"/>
              <w:jc w:val="left"/>
              <w:rPr>
                <w:b/>
                <w:sz w:val="17"/>
                <w:szCs w:val="17"/>
              </w:rPr>
            </w:pPr>
            <w:r>
              <w:rPr>
                <w:b/>
                <w:sz w:val="17"/>
                <w:szCs w:val="17"/>
              </w:rPr>
              <w:t>1 061 666</w:t>
            </w:r>
          </w:p>
        </w:tc>
        <w:tc>
          <w:tcPr>
            <w:tcW w:w="1020" w:type="dxa"/>
            <w:tcBorders>
              <w:top w:val="single" w:sz="6" w:space="0" w:color="auto"/>
            </w:tcBorders>
            <w:vAlign w:val="bottom"/>
          </w:tcPr>
          <w:p w:rsidR="00FD06F3" w:rsidRDefault="0054425B">
            <w:pPr>
              <w:widowControl w:val="0"/>
              <w:tabs>
                <w:tab w:val="decimal" w:pos="737"/>
              </w:tabs>
              <w:ind w:left="-108"/>
              <w:jc w:val="left"/>
              <w:rPr>
                <w:b/>
                <w:sz w:val="17"/>
                <w:szCs w:val="17"/>
              </w:rPr>
            </w:pPr>
            <w:r>
              <w:rPr>
                <w:b/>
                <w:sz w:val="17"/>
                <w:szCs w:val="17"/>
              </w:rPr>
              <w:t>(26 971)</w:t>
            </w:r>
          </w:p>
        </w:tc>
        <w:tc>
          <w:tcPr>
            <w:tcW w:w="1021" w:type="dxa"/>
            <w:tcBorders>
              <w:top w:val="single" w:sz="6" w:space="0" w:color="auto"/>
            </w:tcBorders>
            <w:vAlign w:val="bottom"/>
          </w:tcPr>
          <w:p w:rsidR="00FD06F3" w:rsidRDefault="0054425B">
            <w:pPr>
              <w:widowControl w:val="0"/>
              <w:tabs>
                <w:tab w:val="decimal" w:pos="737"/>
              </w:tabs>
              <w:ind w:left="-108"/>
              <w:jc w:val="left"/>
              <w:rPr>
                <w:b/>
                <w:sz w:val="17"/>
                <w:szCs w:val="17"/>
              </w:rPr>
            </w:pPr>
            <w:r>
              <w:rPr>
                <w:b/>
                <w:sz w:val="17"/>
                <w:szCs w:val="17"/>
              </w:rPr>
              <w:t>1 034 695</w:t>
            </w:r>
          </w:p>
        </w:tc>
      </w:tr>
      <w:tr w:rsidR="00FD06F3">
        <w:trPr>
          <w:trHeight w:val="23"/>
          <w:jc w:val="center"/>
        </w:trPr>
        <w:tc>
          <w:tcPr>
            <w:tcW w:w="2493" w:type="dxa"/>
            <w:vAlign w:val="bottom"/>
          </w:tcPr>
          <w:p w:rsidR="00FD06F3" w:rsidRDefault="0054425B">
            <w:pPr>
              <w:pStyle w:val="Tabletext"/>
              <w:widowControl w:val="0"/>
              <w:ind w:left="5" w:right="-108" w:hanging="113"/>
              <w:jc w:val="left"/>
              <w:rPr>
                <w:b/>
                <w:bCs/>
                <w:sz w:val="17"/>
                <w:szCs w:val="17"/>
              </w:rPr>
            </w:pPr>
            <w:r>
              <w:rPr>
                <w:b/>
                <w:bCs/>
                <w:sz w:val="17"/>
                <w:szCs w:val="17"/>
              </w:rPr>
              <w:t xml:space="preserve"> </w:t>
            </w:r>
          </w:p>
        </w:tc>
        <w:tc>
          <w:tcPr>
            <w:tcW w:w="1020" w:type="dxa"/>
            <w:tcBorders>
              <w:top w:val="single" w:sz="6" w:space="0" w:color="auto"/>
            </w:tcBorders>
            <w:vAlign w:val="bottom"/>
          </w:tcPr>
          <w:p w:rsidR="00FD06F3" w:rsidRDefault="00FD06F3">
            <w:pPr>
              <w:pStyle w:val="Tabletext"/>
              <w:widowControl w:val="0"/>
              <w:tabs>
                <w:tab w:val="decimal" w:pos="737"/>
              </w:tabs>
              <w:ind w:left="-108"/>
              <w:jc w:val="left"/>
              <w:rPr>
                <w:b/>
                <w:bCs/>
                <w:sz w:val="17"/>
                <w:szCs w:val="17"/>
              </w:rPr>
            </w:pPr>
          </w:p>
        </w:tc>
        <w:tc>
          <w:tcPr>
            <w:tcW w:w="1020" w:type="dxa"/>
            <w:tcBorders>
              <w:top w:val="single" w:sz="6" w:space="0" w:color="auto"/>
            </w:tcBorders>
            <w:vAlign w:val="bottom"/>
          </w:tcPr>
          <w:p w:rsidR="00FD06F3" w:rsidRDefault="00FD06F3">
            <w:pPr>
              <w:pStyle w:val="Tabletext"/>
              <w:widowControl w:val="0"/>
              <w:tabs>
                <w:tab w:val="decimal" w:pos="737"/>
              </w:tabs>
              <w:ind w:left="-108"/>
              <w:jc w:val="left"/>
              <w:rPr>
                <w:b/>
                <w:bCs/>
                <w:sz w:val="17"/>
                <w:szCs w:val="17"/>
              </w:rPr>
            </w:pPr>
          </w:p>
        </w:tc>
        <w:tc>
          <w:tcPr>
            <w:tcW w:w="1020" w:type="dxa"/>
            <w:tcBorders>
              <w:top w:val="single" w:sz="6" w:space="0" w:color="auto"/>
            </w:tcBorders>
            <w:vAlign w:val="bottom"/>
          </w:tcPr>
          <w:p w:rsidR="00FD06F3" w:rsidRDefault="00FD06F3">
            <w:pPr>
              <w:pStyle w:val="Tabletext"/>
              <w:widowControl w:val="0"/>
              <w:tabs>
                <w:tab w:val="decimal" w:pos="737"/>
              </w:tabs>
              <w:ind w:left="-108"/>
              <w:jc w:val="left"/>
              <w:rPr>
                <w:b/>
                <w:bCs/>
                <w:sz w:val="17"/>
                <w:szCs w:val="17"/>
              </w:rPr>
            </w:pPr>
          </w:p>
        </w:tc>
        <w:tc>
          <w:tcPr>
            <w:tcW w:w="1021" w:type="dxa"/>
            <w:tcBorders>
              <w:top w:val="single" w:sz="6" w:space="0" w:color="auto"/>
            </w:tcBorders>
            <w:vAlign w:val="bottom"/>
          </w:tcPr>
          <w:p w:rsidR="00FD06F3" w:rsidRDefault="00FD06F3">
            <w:pPr>
              <w:widowControl w:val="0"/>
              <w:tabs>
                <w:tab w:val="decimal" w:pos="737"/>
              </w:tabs>
              <w:ind w:left="-108"/>
              <w:jc w:val="left"/>
              <w:rPr>
                <w:b/>
                <w:sz w:val="17"/>
                <w:szCs w:val="17"/>
              </w:rPr>
            </w:pPr>
          </w:p>
        </w:tc>
        <w:tc>
          <w:tcPr>
            <w:tcW w:w="1022" w:type="dxa"/>
            <w:tcBorders>
              <w:top w:val="single" w:sz="6" w:space="0" w:color="auto"/>
            </w:tcBorders>
            <w:vAlign w:val="bottom"/>
          </w:tcPr>
          <w:p w:rsidR="00FD06F3" w:rsidRDefault="00FD06F3">
            <w:pPr>
              <w:widowControl w:val="0"/>
              <w:tabs>
                <w:tab w:val="decimal" w:pos="737"/>
              </w:tabs>
              <w:ind w:left="-108"/>
              <w:jc w:val="left"/>
              <w:rPr>
                <w:b/>
                <w:sz w:val="17"/>
                <w:szCs w:val="17"/>
              </w:rPr>
            </w:pPr>
          </w:p>
        </w:tc>
        <w:tc>
          <w:tcPr>
            <w:tcW w:w="1020" w:type="dxa"/>
            <w:tcBorders>
              <w:top w:val="single" w:sz="6" w:space="0" w:color="auto"/>
            </w:tcBorders>
            <w:vAlign w:val="bottom"/>
          </w:tcPr>
          <w:p w:rsidR="00FD06F3" w:rsidRDefault="00FD06F3">
            <w:pPr>
              <w:widowControl w:val="0"/>
              <w:tabs>
                <w:tab w:val="decimal" w:pos="737"/>
              </w:tabs>
              <w:ind w:left="-108"/>
              <w:jc w:val="left"/>
              <w:rPr>
                <w:b/>
                <w:sz w:val="17"/>
                <w:szCs w:val="17"/>
              </w:rPr>
            </w:pPr>
          </w:p>
        </w:tc>
        <w:tc>
          <w:tcPr>
            <w:tcW w:w="1021" w:type="dxa"/>
            <w:tcBorders>
              <w:top w:val="single" w:sz="6" w:space="0" w:color="auto"/>
            </w:tcBorders>
            <w:vAlign w:val="bottom"/>
          </w:tcPr>
          <w:p w:rsidR="00FD06F3" w:rsidRDefault="00FD06F3">
            <w:pPr>
              <w:widowControl w:val="0"/>
              <w:tabs>
                <w:tab w:val="decimal" w:pos="737"/>
              </w:tabs>
              <w:ind w:left="-108"/>
              <w:jc w:val="left"/>
              <w:rPr>
                <w:b/>
                <w:bCs/>
                <w:sz w:val="17"/>
                <w:szCs w:val="17"/>
              </w:rPr>
            </w:pPr>
          </w:p>
        </w:tc>
      </w:tr>
      <w:tr w:rsidR="00FD06F3">
        <w:trPr>
          <w:trHeight w:val="23"/>
          <w:jc w:val="center"/>
        </w:trPr>
        <w:tc>
          <w:tcPr>
            <w:tcW w:w="2493" w:type="dxa"/>
            <w:vAlign w:val="bottom"/>
          </w:tcPr>
          <w:p w:rsidR="00FD06F3" w:rsidRDefault="0054425B">
            <w:pPr>
              <w:pStyle w:val="Tabletext"/>
              <w:widowControl w:val="0"/>
              <w:ind w:left="5" w:right="-108" w:hanging="113"/>
              <w:jc w:val="left"/>
              <w:rPr>
                <w:sz w:val="17"/>
                <w:szCs w:val="17"/>
              </w:rPr>
            </w:pPr>
            <w:r>
              <w:rPr>
                <w:sz w:val="17"/>
                <w:szCs w:val="17"/>
              </w:rPr>
              <w:t>Дивиденды (Прим. 10)</w:t>
            </w:r>
          </w:p>
        </w:tc>
        <w:tc>
          <w:tcPr>
            <w:tcW w:w="1020" w:type="dxa"/>
            <w:vAlign w:val="bottom"/>
          </w:tcPr>
          <w:p w:rsidR="00FD06F3" w:rsidRDefault="0054425B">
            <w:pPr>
              <w:pStyle w:val="Tabletext"/>
              <w:widowControl w:val="0"/>
              <w:tabs>
                <w:tab w:val="decimal" w:pos="737"/>
              </w:tabs>
              <w:ind w:left="-108"/>
              <w:jc w:val="left"/>
              <w:rPr>
                <w:sz w:val="17"/>
                <w:szCs w:val="17"/>
              </w:rPr>
            </w:pPr>
            <w:r>
              <w:rPr>
                <w:sz w:val="17"/>
                <w:szCs w:val="17"/>
              </w:rPr>
              <w:t>–</w:t>
            </w:r>
          </w:p>
        </w:tc>
        <w:tc>
          <w:tcPr>
            <w:tcW w:w="1020" w:type="dxa"/>
            <w:vAlign w:val="bottom"/>
          </w:tcPr>
          <w:p w:rsidR="00FD06F3" w:rsidRDefault="0054425B">
            <w:pPr>
              <w:pStyle w:val="Tabletext"/>
              <w:widowControl w:val="0"/>
              <w:tabs>
                <w:tab w:val="decimal" w:pos="737"/>
              </w:tabs>
              <w:ind w:left="-108"/>
              <w:jc w:val="left"/>
              <w:rPr>
                <w:sz w:val="17"/>
                <w:szCs w:val="17"/>
              </w:rPr>
            </w:pPr>
            <w:r>
              <w:rPr>
                <w:sz w:val="17"/>
                <w:szCs w:val="17"/>
              </w:rPr>
              <w:t>–</w:t>
            </w:r>
          </w:p>
        </w:tc>
        <w:tc>
          <w:tcPr>
            <w:tcW w:w="1020" w:type="dxa"/>
            <w:vAlign w:val="bottom"/>
          </w:tcPr>
          <w:p w:rsidR="00FD06F3" w:rsidRDefault="0054425B">
            <w:pPr>
              <w:pStyle w:val="Tabletext"/>
              <w:widowControl w:val="0"/>
              <w:tabs>
                <w:tab w:val="decimal" w:pos="737"/>
              </w:tabs>
              <w:ind w:left="-108"/>
              <w:jc w:val="left"/>
              <w:rPr>
                <w:sz w:val="17"/>
                <w:szCs w:val="17"/>
              </w:rPr>
            </w:pPr>
            <w:r>
              <w:rPr>
                <w:bCs/>
                <w:sz w:val="17"/>
                <w:szCs w:val="17"/>
              </w:rPr>
              <w:t>–</w:t>
            </w:r>
          </w:p>
        </w:tc>
        <w:tc>
          <w:tcPr>
            <w:tcW w:w="1021" w:type="dxa"/>
            <w:vAlign w:val="bottom"/>
          </w:tcPr>
          <w:p w:rsidR="00FD06F3" w:rsidRDefault="0054425B">
            <w:pPr>
              <w:pStyle w:val="Tabletext"/>
              <w:widowControl w:val="0"/>
              <w:tabs>
                <w:tab w:val="decimal" w:pos="737"/>
              </w:tabs>
              <w:ind w:left="-108"/>
              <w:jc w:val="left"/>
              <w:rPr>
                <w:sz w:val="17"/>
                <w:szCs w:val="17"/>
              </w:rPr>
            </w:pPr>
            <w:r>
              <w:rPr>
                <w:bCs/>
                <w:sz w:val="17"/>
                <w:szCs w:val="17"/>
              </w:rPr>
              <w:t>(17 328)</w:t>
            </w:r>
          </w:p>
        </w:tc>
        <w:tc>
          <w:tcPr>
            <w:tcW w:w="1022" w:type="dxa"/>
            <w:vAlign w:val="bottom"/>
          </w:tcPr>
          <w:p w:rsidR="00FD06F3" w:rsidRDefault="0054425B">
            <w:pPr>
              <w:pStyle w:val="Tabletext"/>
              <w:widowControl w:val="0"/>
              <w:tabs>
                <w:tab w:val="decimal" w:pos="737"/>
              </w:tabs>
              <w:ind w:left="-108"/>
              <w:jc w:val="left"/>
              <w:rPr>
                <w:b/>
                <w:sz w:val="17"/>
                <w:szCs w:val="17"/>
              </w:rPr>
            </w:pPr>
            <w:r>
              <w:rPr>
                <w:b/>
                <w:bCs/>
                <w:sz w:val="17"/>
                <w:szCs w:val="17"/>
              </w:rPr>
              <w:t>(17 328)</w:t>
            </w:r>
          </w:p>
        </w:tc>
        <w:tc>
          <w:tcPr>
            <w:tcW w:w="1020" w:type="dxa"/>
            <w:vAlign w:val="bottom"/>
          </w:tcPr>
          <w:p w:rsidR="00FD06F3" w:rsidRDefault="0054425B">
            <w:pPr>
              <w:tabs>
                <w:tab w:val="decimal" w:pos="737"/>
              </w:tabs>
              <w:ind w:left="-108"/>
              <w:jc w:val="left"/>
              <w:rPr>
                <w:sz w:val="17"/>
                <w:szCs w:val="17"/>
              </w:rPr>
            </w:pPr>
            <w:r>
              <w:rPr>
                <w:bCs/>
                <w:sz w:val="17"/>
                <w:szCs w:val="17"/>
              </w:rPr>
              <w:t>–</w:t>
            </w:r>
          </w:p>
        </w:tc>
        <w:tc>
          <w:tcPr>
            <w:tcW w:w="1021" w:type="dxa"/>
            <w:vAlign w:val="bottom"/>
          </w:tcPr>
          <w:p w:rsidR="00FD06F3" w:rsidRDefault="0054425B">
            <w:pPr>
              <w:tabs>
                <w:tab w:val="decimal" w:pos="737"/>
              </w:tabs>
              <w:ind w:left="-108"/>
              <w:jc w:val="left"/>
              <w:rPr>
                <w:b/>
                <w:bCs/>
                <w:sz w:val="17"/>
                <w:szCs w:val="17"/>
              </w:rPr>
            </w:pPr>
            <w:r>
              <w:rPr>
                <w:b/>
                <w:bCs/>
                <w:sz w:val="17"/>
                <w:szCs w:val="17"/>
              </w:rPr>
              <w:t>(17 328)</w:t>
            </w:r>
          </w:p>
        </w:tc>
      </w:tr>
      <w:tr w:rsidR="00FD06F3">
        <w:trPr>
          <w:trHeight w:val="340"/>
          <w:jc w:val="center"/>
        </w:trPr>
        <w:tc>
          <w:tcPr>
            <w:tcW w:w="2493" w:type="dxa"/>
            <w:vAlign w:val="bottom"/>
          </w:tcPr>
          <w:p w:rsidR="00FD06F3" w:rsidRDefault="0054425B">
            <w:pPr>
              <w:pStyle w:val="Tabletext"/>
              <w:widowControl w:val="0"/>
              <w:ind w:left="5" w:right="-108" w:hanging="113"/>
              <w:jc w:val="left"/>
              <w:rPr>
                <w:sz w:val="17"/>
                <w:szCs w:val="17"/>
              </w:rPr>
            </w:pPr>
            <w:r>
              <w:rPr>
                <w:b/>
                <w:bCs/>
                <w:sz w:val="17"/>
                <w:szCs w:val="17"/>
              </w:rPr>
              <w:t>На 31 декабря 2017 г.</w:t>
            </w:r>
          </w:p>
        </w:tc>
        <w:tc>
          <w:tcPr>
            <w:tcW w:w="1020" w:type="dxa"/>
            <w:tcBorders>
              <w:top w:val="single" w:sz="6" w:space="0" w:color="auto"/>
              <w:bottom w:val="single" w:sz="12" w:space="0" w:color="auto"/>
            </w:tcBorders>
            <w:vAlign w:val="bottom"/>
          </w:tcPr>
          <w:p w:rsidR="00FD06F3" w:rsidRDefault="0054425B">
            <w:pPr>
              <w:widowControl w:val="0"/>
              <w:tabs>
                <w:tab w:val="decimal" w:pos="737"/>
              </w:tabs>
              <w:ind w:left="-108"/>
              <w:jc w:val="left"/>
              <w:rPr>
                <w:b/>
                <w:bCs/>
                <w:sz w:val="17"/>
                <w:szCs w:val="17"/>
              </w:rPr>
            </w:pPr>
            <w:r>
              <w:rPr>
                <w:b/>
                <w:bCs/>
                <w:sz w:val="17"/>
                <w:szCs w:val="17"/>
              </w:rPr>
              <w:t>11 023</w:t>
            </w:r>
          </w:p>
        </w:tc>
        <w:tc>
          <w:tcPr>
            <w:tcW w:w="1020" w:type="dxa"/>
            <w:tcBorders>
              <w:top w:val="single" w:sz="6" w:space="0" w:color="auto"/>
              <w:bottom w:val="single" w:sz="12" w:space="0" w:color="auto"/>
            </w:tcBorders>
            <w:vAlign w:val="bottom"/>
          </w:tcPr>
          <w:p w:rsidR="00FD06F3" w:rsidRDefault="0054425B">
            <w:pPr>
              <w:widowControl w:val="0"/>
              <w:tabs>
                <w:tab w:val="decimal" w:pos="737"/>
              </w:tabs>
              <w:ind w:left="-108"/>
              <w:jc w:val="left"/>
              <w:rPr>
                <w:b/>
                <w:bCs/>
                <w:sz w:val="17"/>
                <w:szCs w:val="17"/>
              </w:rPr>
            </w:pPr>
            <w:r>
              <w:rPr>
                <w:b/>
                <w:bCs/>
                <w:sz w:val="17"/>
                <w:szCs w:val="17"/>
              </w:rPr>
              <w:t>2 246 239</w:t>
            </w:r>
          </w:p>
        </w:tc>
        <w:tc>
          <w:tcPr>
            <w:tcW w:w="1020" w:type="dxa"/>
            <w:tcBorders>
              <w:top w:val="single" w:sz="6" w:space="0" w:color="auto"/>
              <w:bottom w:val="single" w:sz="12" w:space="0" w:color="auto"/>
            </w:tcBorders>
            <w:vAlign w:val="bottom"/>
          </w:tcPr>
          <w:p w:rsidR="00FD06F3" w:rsidRDefault="0054425B">
            <w:pPr>
              <w:widowControl w:val="0"/>
              <w:tabs>
                <w:tab w:val="decimal" w:pos="737"/>
              </w:tabs>
              <w:ind w:left="-108"/>
              <w:jc w:val="left"/>
              <w:rPr>
                <w:b/>
                <w:bCs/>
                <w:sz w:val="17"/>
                <w:szCs w:val="17"/>
              </w:rPr>
            </w:pPr>
            <w:r>
              <w:rPr>
                <w:b/>
                <w:bCs/>
                <w:sz w:val="17"/>
                <w:szCs w:val="17"/>
              </w:rPr>
              <w:t>154 905</w:t>
            </w:r>
          </w:p>
        </w:tc>
        <w:tc>
          <w:tcPr>
            <w:tcW w:w="1021" w:type="dxa"/>
            <w:tcBorders>
              <w:top w:val="single" w:sz="6" w:space="0" w:color="auto"/>
              <w:bottom w:val="single" w:sz="12" w:space="0" w:color="auto"/>
            </w:tcBorders>
            <w:vAlign w:val="bottom"/>
          </w:tcPr>
          <w:p w:rsidR="00FD06F3" w:rsidRDefault="0054425B">
            <w:pPr>
              <w:tabs>
                <w:tab w:val="decimal" w:pos="737"/>
              </w:tabs>
              <w:ind w:left="-108"/>
              <w:jc w:val="left"/>
              <w:rPr>
                <w:b/>
                <w:bCs/>
                <w:sz w:val="17"/>
                <w:szCs w:val="17"/>
              </w:rPr>
            </w:pPr>
            <w:r>
              <w:rPr>
                <w:b/>
                <w:bCs/>
                <w:sz w:val="17"/>
                <w:szCs w:val="17"/>
              </w:rPr>
              <w:t>6 349 231</w:t>
            </w:r>
          </w:p>
        </w:tc>
        <w:tc>
          <w:tcPr>
            <w:tcW w:w="1022" w:type="dxa"/>
            <w:tcBorders>
              <w:top w:val="single" w:sz="6" w:space="0" w:color="auto"/>
              <w:bottom w:val="single" w:sz="12" w:space="0" w:color="auto"/>
            </w:tcBorders>
            <w:vAlign w:val="bottom"/>
          </w:tcPr>
          <w:p w:rsidR="00FD06F3" w:rsidRDefault="0054425B">
            <w:pPr>
              <w:tabs>
                <w:tab w:val="decimal" w:pos="737"/>
              </w:tabs>
              <w:ind w:left="-108"/>
              <w:jc w:val="left"/>
              <w:rPr>
                <w:b/>
                <w:bCs/>
                <w:sz w:val="17"/>
                <w:szCs w:val="17"/>
              </w:rPr>
            </w:pPr>
            <w:r>
              <w:rPr>
                <w:b/>
                <w:bCs/>
                <w:sz w:val="17"/>
                <w:szCs w:val="17"/>
              </w:rPr>
              <w:t>8 761 398</w:t>
            </w:r>
          </w:p>
        </w:tc>
        <w:tc>
          <w:tcPr>
            <w:tcW w:w="1020" w:type="dxa"/>
            <w:tcBorders>
              <w:top w:val="single" w:sz="6" w:space="0" w:color="auto"/>
              <w:bottom w:val="single" w:sz="12" w:space="0" w:color="auto"/>
            </w:tcBorders>
            <w:vAlign w:val="bottom"/>
          </w:tcPr>
          <w:p w:rsidR="00FD06F3" w:rsidRDefault="0054425B">
            <w:pPr>
              <w:tabs>
                <w:tab w:val="decimal" w:pos="737"/>
              </w:tabs>
              <w:ind w:left="-108"/>
              <w:jc w:val="left"/>
              <w:rPr>
                <w:b/>
                <w:bCs/>
                <w:sz w:val="17"/>
                <w:szCs w:val="17"/>
              </w:rPr>
            </w:pPr>
            <w:r>
              <w:rPr>
                <w:b/>
                <w:bCs/>
                <w:sz w:val="17"/>
                <w:szCs w:val="17"/>
              </w:rPr>
              <w:t>384 450</w:t>
            </w:r>
          </w:p>
        </w:tc>
        <w:tc>
          <w:tcPr>
            <w:tcW w:w="1021" w:type="dxa"/>
            <w:tcBorders>
              <w:top w:val="single" w:sz="6" w:space="0" w:color="auto"/>
              <w:bottom w:val="single" w:sz="12" w:space="0" w:color="auto"/>
            </w:tcBorders>
            <w:vAlign w:val="bottom"/>
          </w:tcPr>
          <w:p w:rsidR="00FD06F3" w:rsidRDefault="0054425B">
            <w:pPr>
              <w:tabs>
                <w:tab w:val="decimal" w:pos="737"/>
              </w:tabs>
              <w:ind w:left="-108"/>
              <w:jc w:val="left"/>
              <w:rPr>
                <w:b/>
                <w:bCs/>
                <w:sz w:val="17"/>
                <w:szCs w:val="17"/>
              </w:rPr>
            </w:pPr>
            <w:r>
              <w:rPr>
                <w:b/>
                <w:bCs/>
                <w:sz w:val="17"/>
                <w:szCs w:val="17"/>
              </w:rPr>
              <w:t>9 145 848</w:t>
            </w:r>
          </w:p>
        </w:tc>
      </w:tr>
    </w:tbl>
    <w:p w:rsidR="00FD06F3" w:rsidRDefault="00FD06F3">
      <w:pPr>
        <w:pStyle w:val="Text33"/>
        <w:widowControl w:val="0"/>
        <w:spacing w:after="0"/>
      </w:pPr>
    </w:p>
    <w:p w:rsidR="00FD06F3" w:rsidRDefault="00FD06F3">
      <w:pPr>
        <w:pStyle w:val="Text33"/>
        <w:widowControl w:val="0"/>
        <w:spacing w:after="0"/>
      </w:pPr>
    </w:p>
    <w:p w:rsidR="00FD06F3" w:rsidRDefault="00FD06F3">
      <w:pPr>
        <w:pStyle w:val="Text33"/>
        <w:widowControl w:val="0"/>
        <w:spacing w:after="0"/>
      </w:pPr>
    </w:p>
    <w:p w:rsidR="00FD06F3" w:rsidRDefault="00FD06F3">
      <w:pPr>
        <w:widowControl w:val="0"/>
      </w:pPr>
    </w:p>
    <w:p w:rsidR="00FD06F3" w:rsidRDefault="00FD06F3">
      <w:pPr>
        <w:widowControl w:val="0"/>
      </w:pPr>
    </w:p>
    <w:p w:rsidR="00FD06F3" w:rsidRDefault="0054425B">
      <w:pPr>
        <w:pStyle w:val="Text33"/>
        <w:widowControl w:val="0"/>
        <w:tabs>
          <w:tab w:val="left" w:pos="7938"/>
        </w:tabs>
        <w:spacing w:after="0"/>
      </w:pPr>
      <w:r>
        <w:t>Исполнительный директор</w:t>
      </w:r>
      <w:r>
        <w:tab/>
        <w:t>М.И. Зайченко</w:t>
      </w:r>
    </w:p>
    <w:p w:rsidR="00FD06F3" w:rsidRDefault="00FD06F3">
      <w:pPr>
        <w:pStyle w:val="Text33"/>
        <w:widowControl w:val="0"/>
        <w:spacing w:after="0"/>
      </w:pPr>
    </w:p>
    <w:p w:rsidR="00FD06F3" w:rsidRDefault="00FD06F3"/>
    <w:p w:rsidR="00FD06F3" w:rsidRDefault="00FD06F3"/>
    <w:p w:rsidR="00FD06F3" w:rsidRDefault="00FD06F3"/>
    <w:p w:rsidR="00FD06F3" w:rsidRDefault="00FD06F3"/>
    <w:p w:rsidR="00FD06F3" w:rsidRDefault="0054425B">
      <w:pPr>
        <w:pStyle w:val="Text33"/>
        <w:widowControl w:val="0"/>
        <w:tabs>
          <w:tab w:val="left" w:pos="7938"/>
        </w:tabs>
        <w:spacing w:after="0"/>
      </w:pPr>
      <w:r>
        <w:t>Главный бухгалтер</w:t>
      </w:r>
      <w:r>
        <w:tab/>
        <w:t>С.В. Мельниченко</w:t>
      </w:r>
    </w:p>
    <w:p w:rsidR="00FD06F3" w:rsidRDefault="00FD06F3">
      <w:pPr>
        <w:widowControl w:val="0"/>
      </w:pPr>
    </w:p>
    <w:p w:rsidR="00FD06F3" w:rsidRDefault="0054425B">
      <w:pPr>
        <w:widowControl w:val="0"/>
        <w:tabs>
          <w:tab w:val="left" w:pos="7938"/>
        </w:tabs>
      </w:pPr>
      <w:r>
        <w:tab/>
        <w:t>27 апреля 2018 г.</w:t>
      </w:r>
    </w:p>
    <w:p w:rsidR="00FD06F3" w:rsidRDefault="00FD06F3">
      <w:pPr>
        <w:widowControl w:val="0"/>
      </w:pPr>
    </w:p>
    <w:p w:rsidR="00FD06F3" w:rsidRDefault="00FD06F3">
      <w:pPr>
        <w:widowControl w:val="0"/>
        <w:sectPr w:rsidR="00FD06F3">
          <w:pgSz w:w="11907" w:h="16840" w:code="9"/>
          <w:pgMar w:top="1134" w:right="851" w:bottom="851" w:left="1418" w:header="720" w:footer="720" w:gutter="0"/>
          <w:cols w:space="720"/>
          <w:docGrid w:linePitch="272"/>
        </w:sectPr>
      </w:pPr>
    </w:p>
    <w:p w:rsidR="00FD06F3" w:rsidRDefault="0054425B">
      <w:pPr>
        <w:pStyle w:val="level10"/>
        <w:jc w:val="left"/>
        <w:rPr>
          <w:rFonts w:ascii="Times New Roman" w:hAnsi="Times New Roman" w:cs="Times New Roman"/>
          <w:b/>
          <w:bCs/>
          <w:sz w:val="24"/>
          <w:szCs w:val="24"/>
        </w:rPr>
      </w:pPr>
      <w:bookmarkStart w:id="20" w:name="_Toc325469647"/>
      <w:bookmarkStart w:id="21" w:name="_Toc354762877"/>
      <w:bookmarkStart w:id="22" w:name="_Toc356225082"/>
      <w:bookmarkStart w:id="23" w:name="_Toc387743807"/>
      <w:bookmarkStart w:id="24" w:name="_Toc387743925"/>
      <w:r>
        <w:rPr>
          <w:rFonts w:ascii="Times New Roman" w:hAnsi="Times New Roman" w:cs="Times New Roman"/>
          <w:b/>
          <w:bCs/>
          <w:sz w:val="24"/>
          <w:szCs w:val="24"/>
        </w:rPr>
        <w:lastRenderedPageBreak/>
        <w:t>Примечания к консолидированной финансовой отчетности</w:t>
      </w:r>
      <w:bookmarkEnd w:id="20"/>
      <w:bookmarkEnd w:id="21"/>
      <w:bookmarkEnd w:id="22"/>
      <w:bookmarkEnd w:id="23"/>
      <w:bookmarkEnd w:id="24"/>
    </w:p>
    <w:p w:rsidR="00FD06F3" w:rsidRDefault="00FD06F3">
      <w:pPr>
        <w:widowControl w:val="0"/>
        <w:rPr>
          <w:caps/>
        </w:rPr>
      </w:pPr>
    </w:p>
    <w:p w:rsidR="00FD06F3" w:rsidRDefault="00FD06F3">
      <w:pPr>
        <w:widowControl w:val="0"/>
        <w:rPr>
          <w:caps/>
        </w:rPr>
      </w:pPr>
    </w:p>
    <w:p w:rsidR="00FD06F3" w:rsidRDefault="0054425B">
      <w:pPr>
        <w:pStyle w:val="12"/>
      </w:pPr>
      <w:bookmarkStart w:id="25" w:name="_Toc387743808"/>
      <w:bookmarkStart w:id="26" w:name="_Toc387743926"/>
      <w:bookmarkStart w:id="27" w:name="_Toc512452514"/>
      <w:bookmarkStart w:id="28" w:name="_Toc354762878"/>
      <w:bookmarkStart w:id="29" w:name="_Toc356225083"/>
      <w:r>
        <w:t>1.</w:t>
      </w:r>
      <w:r>
        <w:tab/>
        <w:t>Общая информация</w:t>
      </w:r>
      <w:bookmarkEnd w:id="25"/>
      <w:bookmarkEnd w:id="26"/>
      <w:bookmarkEnd w:id="27"/>
    </w:p>
    <w:p w:rsidR="00FD06F3" w:rsidRDefault="00FD06F3">
      <w:pPr>
        <w:widowControl w:val="0"/>
      </w:pPr>
    </w:p>
    <w:p w:rsidR="00FD06F3" w:rsidRDefault="0054425B">
      <w:pPr>
        <w:pStyle w:val="2"/>
      </w:pPr>
      <w:bookmarkStart w:id="30" w:name="_Toc387743809"/>
      <w:r>
        <w:t>1.1</w:t>
      </w:r>
      <w:r>
        <w:tab/>
        <w:t>Описание деятельности</w:t>
      </w:r>
      <w:bookmarkEnd w:id="28"/>
      <w:bookmarkEnd w:id="29"/>
      <w:bookmarkEnd w:id="30"/>
    </w:p>
    <w:p w:rsidR="00FD06F3" w:rsidRDefault="00FD06F3">
      <w:pPr>
        <w:widowControl w:val="0"/>
      </w:pPr>
    </w:p>
    <w:p w:rsidR="00FD06F3" w:rsidRDefault="0054425B">
      <w:pPr>
        <w:widowControl w:val="0"/>
      </w:pPr>
      <w:r>
        <w:rPr>
          <w:caps/>
        </w:rPr>
        <w:t xml:space="preserve">ОАО </w:t>
      </w:r>
      <w:r>
        <w:t>«Московская кондитерская фабрика «Красный Октябрь» («Компания») было зарегистрировано в России в форме открытого</w:t>
      </w:r>
      <w:r>
        <w:t xml:space="preserve"> акционерного общества 25 ноября 1992 г. Главный офис Компании находится по адресу: Россия, г. Москва, ул. Малая Красносельская, д. 7, стр. 24. </w:t>
      </w:r>
    </w:p>
    <w:p w:rsidR="00FD06F3" w:rsidRDefault="00FD06F3">
      <w:pPr>
        <w:widowControl w:val="0"/>
      </w:pPr>
    </w:p>
    <w:p w:rsidR="00FD06F3" w:rsidRDefault="0054425B">
      <w:pPr>
        <w:widowControl w:val="0"/>
      </w:pPr>
      <w:r>
        <w:t>На основании решения Годового общего собрания акционеров ОАО «Московская кондитерская фабрика «Красный Октябрь</w:t>
      </w:r>
      <w:r>
        <w:t>» (Протокол от 27 июня 2017 г.) ОАО «Московская кондитерская фабрика «Красный Октябрь» было переименовано в ПАО «Московская кондитерская фабрика «Красный Октябрь».</w:t>
      </w:r>
    </w:p>
    <w:p w:rsidR="00FD06F3" w:rsidRDefault="00FD06F3">
      <w:pPr>
        <w:widowControl w:val="0"/>
      </w:pPr>
    </w:p>
    <w:p w:rsidR="00FD06F3" w:rsidRDefault="0054425B">
      <w:pPr>
        <w:widowControl w:val="0"/>
      </w:pPr>
      <w:r>
        <w:t>Компания и ее дочерние компании, перечисленные ниже, образуют Группу (далее – «Группа»):</w:t>
      </w:r>
    </w:p>
    <w:p w:rsidR="00FD06F3" w:rsidRDefault="00FD06F3">
      <w:pPr>
        <w:pStyle w:val="ABC-paragrahinNotes"/>
        <w:widowControl w:val="0"/>
        <w:spacing w:after="0"/>
        <w:jc w:val="left"/>
      </w:pPr>
    </w:p>
    <w:tbl>
      <w:tblPr>
        <w:tblW w:w="9637" w:type="dxa"/>
        <w:jc w:val="center"/>
        <w:tblLayout w:type="fixed"/>
        <w:tblLook w:val="0000" w:firstRow="0" w:lastRow="0" w:firstColumn="0" w:lastColumn="0" w:noHBand="0" w:noVBand="0"/>
      </w:tblPr>
      <w:tblGrid>
        <w:gridCol w:w="2721"/>
        <w:gridCol w:w="964"/>
        <w:gridCol w:w="3118"/>
        <w:gridCol w:w="1417"/>
        <w:gridCol w:w="1417"/>
      </w:tblGrid>
      <w:tr w:rsidR="00FD06F3">
        <w:trPr>
          <w:trHeight w:val="23"/>
          <w:jc w:val="center"/>
        </w:trPr>
        <w:tc>
          <w:tcPr>
            <w:tcW w:w="2721" w:type="dxa"/>
            <w:tcBorders>
              <w:bottom w:val="single" w:sz="6" w:space="0" w:color="auto"/>
            </w:tcBorders>
            <w:vAlign w:val="bottom"/>
          </w:tcPr>
          <w:p w:rsidR="00FD06F3" w:rsidRDefault="0054425B">
            <w:pPr>
              <w:pStyle w:val="Tabletext"/>
              <w:widowControl w:val="0"/>
              <w:ind w:left="5" w:right="-108" w:hanging="113"/>
              <w:jc w:val="left"/>
              <w:rPr>
                <w:b/>
              </w:rPr>
            </w:pPr>
            <w:r>
              <w:rPr>
                <w:b/>
              </w:rPr>
              <w:t>Компания</w:t>
            </w:r>
          </w:p>
        </w:tc>
        <w:tc>
          <w:tcPr>
            <w:tcW w:w="964" w:type="dxa"/>
            <w:tcBorders>
              <w:bottom w:val="single" w:sz="6" w:space="0" w:color="auto"/>
            </w:tcBorders>
            <w:vAlign w:val="bottom"/>
          </w:tcPr>
          <w:p w:rsidR="00FD06F3" w:rsidRDefault="0054425B">
            <w:pPr>
              <w:pStyle w:val="Tabletext"/>
              <w:widowControl w:val="0"/>
              <w:ind w:left="-108" w:right="-108"/>
              <w:jc w:val="center"/>
              <w:rPr>
                <w:b/>
              </w:rPr>
            </w:pPr>
            <w:r>
              <w:rPr>
                <w:b/>
              </w:rPr>
              <w:t>Страна</w:t>
            </w:r>
          </w:p>
        </w:tc>
        <w:tc>
          <w:tcPr>
            <w:tcW w:w="3118" w:type="dxa"/>
            <w:tcBorders>
              <w:bottom w:val="single" w:sz="6" w:space="0" w:color="auto"/>
            </w:tcBorders>
            <w:vAlign w:val="bottom"/>
          </w:tcPr>
          <w:p w:rsidR="00FD06F3" w:rsidRDefault="0054425B">
            <w:pPr>
              <w:pStyle w:val="Tabletext"/>
              <w:widowControl w:val="0"/>
              <w:ind w:left="-108" w:right="-108"/>
              <w:jc w:val="center"/>
              <w:rPr>
                <w:b/>
              </w:rPr>
            </w:pPr>
            <w:r>
              <w:rPr>
                <w:b/>
              </w:rPr>
              <w:t>Деятельность</w:t>
            </w:r>
          </w:p>
        </w:tc>
        <w:tc>
          <w:tcPr>
            <w:tcW w:w="1417" w:type="dxa"/>
            <w:tcBorders>
              <w:bottom w:val="single" w:sz="6" w:space="0" w:color="auto"/>
            </w:tcBorders>
            <w:vAlign w:val="bottom"/>
          </w:tcPr>
          <w:p w:rsidR="00FD06F3" w:rsidRDefault="0054425B">
            <w:pPr>
              <w:pStyle w:val="Tabletext"/>
              <w:widowControl w:val="0"/>
              <w:ind w:left="-108" w:right="-108"/>
              <w:jc w:val="center"/>
              <w:rPr>
                <w:b/>
              </w:rPr>
            </w:pPr>
            <w:r>
              <w:rPr>
                <w:b/>
              </w:rPr>
              <w:t>% владения</w:t>
            </w:r>
          </w:p>
          <w:p w:rsidR="00FD06F3" w:rsidRDefault="0054425B">
            <w:pPr>
              <w:pStyle w:val="Tabletext"/>
              <w:widowControl w:val="0"/>
              <w:ind w:left="-108" w:right="-108"/>
              <w:jc w:val="center"/>
              <w:rPr>
                <w:b/>
              </w:rPr>
            </w:pPr>
            <w:r>
              <w:rPr>
                <w:b/>
              </w:rPr>
              <w:t>на 31 декабря 2017 г.</w:t>
            </w:r>
          </w:p>
        </w:tc>
        <w:tc>
          <w:tcPr>
            <w:tcW w:w="1417" w:type="dxa"/>
            <w:tcBorders>
              <w:bottom w:val="single" w:sz="6" w:space="0" w:color="auto"/>
            </w:tcBorders>
            <w:vAlign w:val="bottom"/>
          </w:tcPr>
          <w:p w:rsidR="00FD06F3" w:rsidRDefault="0054425B">
            <w:pPr>
              <w:pStyle w:val="Tabletext"/>
              <w:widowControl w:val="0"/>
              <w:ind w:left="-108" w:right="-108"/>
              <w:jc w:val="center"/>
              <w:rPr>
                <w:b/>
              </w:rPr>
            </w:pPr>
            <w:r>
              <w:rPr>
                <w:b/>
              </w:rPr>
              <w:t xml:space="preserve">% владения </w:t>
            </w:r>
            <w:r>
              <w:rPr>
                <w:b/>
              </w:rPr>
              <w:br/>
              <w:t>на 31 декабря 2016 г.</w:t>
            </w:r>
          </w:p>
        </w:tc>
      </w:tr>
      <w:tr w:rsidR="00FD06F3">
        <w:trPr>
          <w:trHeight w:val="23"/>
          <w:jc w:val="center"/>
        </w:trPr>
        <w:tc>
          <w:tcPr>
            <w:tcW w:w="2721" w:type="dxa"/>
            <w:vAlign w:val="bottom"/>
          </w:tcPr>
          <w:p w:rsidR="00FD06F3" w:rsidRDefault="0054425B">
            <w:pPr>
              <w:pStyle w:val="Tabletext"/>
              <w:widowControl w:val="0"/>
              <w:ind w:left="5" w:right="-108" w:hanging="113"/>
              <w:jc w:val="left"/>
              <w:rPr>
                <w:b/>
              </w:rPr>
            </w:pPr>
            <w:r>
              <w:rPr>
                <w:b/>
              </w:rPr>
              <w:t xml:space="preserve"> </w:t>
            </w:r>
          </w:p>
        </w:tc>
        <w:tc>
          <w:tcPr>
            <w:tcW w:w="964" w:type="dxa"/>
            <w:vAlign w:val="bottom"/>
          </w:tcPr>
          <w:p w:rsidR="00FD06F3" w:rsidRDefault="00FD06F3">
            <w:pPr>
              <w:pStyle w:val="Tabletext"/>
              <w:widowControl w:val="0"/>
              <w:ind w:left="-108" w:right="-108"/>
              <w:jc w:val="center"/>
              <w:rPr>
                <w:b/>
              </w:rPr>
            </w:pPr>
          </w:p>
        </w:tc>
        <w:tc>
          <w:tcPr>
            <w:tcW w:w="3118" w:type="dxa"/>
            <w:vAlign w:val="bottom"/>
          </w:tcPr>
          <w:p w:rsidR="00FD06F3" w:rsidRDefault="00FD06F3">
            <w:pPr>
              <w:pStyle w:val="Tabletext"/>
              <w:widowControl w:val="0"/>
              <w:ind w:left="-108" w:right="-108"/>
              <w:jc w:val="center"/>
              <w:rPr>
                <w:b/>
              </w:rPr>
            </w:pPr>
          </w:p>
        </w:tc>
        <w:tc>
          <w:tcPr>
            <w:tcW w:w="1417" w:type="dxa"/>
            <w:vAlign w:val="bottom"/>
          </w:tcPr>
          <w:p w:rsidR="00FD06F3" w:rsidRDefault="00FD06F3">
            <w:pPr>
              <w:pStyle w:val="Tabletext"/>
              <w:widowControl w:val="0"/>
              <w:tabs>
                <w:tab w:val="decimal" w:pos="964"/>
              </w:tabs>
              <w:jc w:val="center"/>
              <w:rPr>
                <w:b/>
              </w:rPr>
            </w:pPr>
          </w:p>
        </w:tc>
        <w:tc>
          <w:tcPr>
            <w:tcW w:w="1417" w:type="dxa"/>
            <w:vAlign w:val="bottom"/>
          </w:tcPr>
          <w:p w:rsidR="00FD06F3" w:rsidRDefault="00FD06F3">
            <w:pPr>
              <w:pStyle w:val="Tabletext"/>
              <w:widowControl w:val="0"/>
              <w:tabs>
                <w:tab w:val="decimal" w:pos="964"/>
              </w:tabs>
              <w:jc w:val="center"/>
              <w:rPr>
                <w:b/>
              </w:rPr>
            </w:pPr>
          </w:p>
        </w:tc>
      </w:tr>
      <w:tr w:rsidR="00FD06F3">
        <w:trPr>
          <w:trHeight w:val="23"/>
          <w:jc w:val="center"/>
        </w:trPr>
        <w:tc>
          <w:tcPr>
            <w:tcW w:w="2721" w:type="dxa"/>
            <w:vAlign w:val="bottom"/>
          </w:tcPr>
          <w:p w:rsidR="00FD06F3" w:rsidRDefault="0054425B">
            <w:pPr>
              <w:pStyle w:val="Tabletext"/>
              <w:widowControl w:val="0"/>
              <w:ind w:left="5" w:right="-108" w:hanging="113"/>
              <w:jc w:val="left"/>
            </w:pPr>
            <w:r>
              <w:t>ОАО «Благовещенская кондитерская фабрика «Зея»</w:t>
            </w:r>
          </w:p>
        </w:tc>
        <w:tc>
          <w:tcPr>
            <w:tcW w:w="964" w:type="dxa"/>
            <w:vAlign w:val="bottom"/>
          </w:tcPr>
          <w:p w:rsidR="00FD06F3" w:rsidRDefault="0054425B">
            <w:pPr>
              <w:pStyle w:val="Tabletext"/>
              <w:widowControl w:val="0"/>
              <w:ind w:left="-108" w:right="-108"/>
              <w:jc w:val="center"/>
            </w:pPr>
            <w:r>
              <w:t>Россия</w:t>
            </w:r>
          </w:p>
        </w:tc>
        <w:tc>
          <w:tcPr>
            <w:tcW w:w="3118" w:type="dxa"/>
            <w:vAlign w:val="bottom"/>
          </w:tcPr>
          <w:p w:rsidR="00FD06F3" w:rsidRDefault="0054425B">
            <w:pPr>
              <w:pStyle w:val="Tabletext"/>
              <w:widowControl w:val="0"/>
              <w:ind w:left="-108" w:right="-108"/>
              <w:jc w:val="center"/>
            </w:pPr>
            <w:r>
              <w:t>Производство кондитерских изделий</w:t>
            </w:r>
          </w:p>
        </w:tc>
        <w:tc>
          <w:tcPr>
            <w:tcW w:w="1417" w:type="dxa"/>
            <w:vAlign w:val="bottom"/>
          </w:tcPr>
          <w:p w:rsidR="00FD06F3" w:rsidRDefault="0054425B">
            <w:pPr>
              <w:pStyle w:val="Tabletext"/>
              <w:widowControl w:val="0"/>
              <w:tabs>
                <w:tab w:val="decimal" w:pos="746"/>
              </w:tabs>
              <w:jc w:val="left"/>
            </w:pPr>
            <w:r>
              <w:t>63,22</w:t>
            </w:r>
          </w:p>
        </w:tc>
        <w:tc>
          <w:tcPr>
            <w:tcW w:w="1417" w:type="dxa"/>
            <w:vAlign w:val="bottom"/>
          </w:tcPr>
          <w:p w:rsidR="00FD06F3" w:rsidRDefault="0054425B">
            <w:pPr>
              <w:pStyle w:val="Tabletext"/>
              <w:widowControl w:val="0"/>
              <w:tabs>
                <w:tab w:val="decimal" w:pos="746"/>
              </w:tabs>
              <w:jc w:val="left"/>
            </w:pPr>
            <w:r>
              <w:t>63,22</w:t>
            </w:r>
          </w:p>
        </w:tc>
      </w:tr>
      <w:tr w:rsidR="00FD06F3">
        <w:trPr>
          <w:trHeight w:val="23"/>
          <w:jc w:val="center"/>
        </w:trPr>
        <w:tc>
          <w:tcPr>
            <w:tcW w:w="2721" w:type="dxa"/>
            <w:vAlign w:val="bottom"/>
          </w:tcPr>
          <w:p w:rsidR="00FD06F3" w:rsidRDefault="0054425B">
            <w:pPr>
              <w:pStyle w:val="Tabletext"/>
              <w:widowControl w:val="0"/>
              <w:ind w:left="5" w:right="-108" w:hanging="113"/>
              <w:jc w:val="left"/>
            </w:pPr>
            <w:r>
              <w:t>ООО «ГУТА-Клиник»</w:t>
            </w:r>
          </w:p>
        </w:tc>
        <w:tc>
          <w:tcPr>
            <w:tcW w:w="964" w:type="dxa"/>
            <w:vAlign w:val="bottom"/>
          </w:tcPr>
          <w:p w:rsidR="00FD06F3" w:rsidRDefault="0054425B">
            <w:pPr>
              <w:pStyle w:val="Tabletext"/>
              <w:widowControl w:val="0"/>
              <w:ind w:left="-108" w:right="-108"/>
              <w:jc w:val="center"/>
            </w:pPr>
            <w:r>
              <w:t>Россия</w:t>
            </w:r>
          </w:p>
        </w:tc>
        <w:tc>
          <w:tcPr>
            <w:tcW w:w="3118" w:type="dxa"/>
            <w:vAlign w:val="bottom"/>
          </w:tcPr>
          <w:p w:rsidR="00FD06F3" w:rsidRDefault="0054425B">
            <w:pPr>
              <w:pStyle w:val="Tabletext"/>
              <w:widowControl w:val="0"/>
              <w:ind w:left="-108" w:right="-108"/>
              <w:jc w:val="center"/>
            </w:pPr>
            <w:r>
              <w:t>Оказание медицинских услуг</w:t>
            </w:r>
            <w:r>
              <w:t xml:space="preserve"> (а)</w:t>
            </w:r>
          </w:p>
        </w:tc>
        <w:tc>
          <w:tcPr>
            <w:tcW w:w="1417" w:type="dxa"/>
            <w:vAlign w:val="bottom"/>
          </w:tcPr>
          <w:p w:rsidR="00FD06F3" w:rsidRDefault="0054425B">
            <w:pPr>
              <w:pStyle w:val="Tabletext"/>
              <w:widowControl w:val="0"/>
              <w:tabs>
                <w:tab w:val="decimal" w:pos="964"/>
              </w:tabs>
              <w:jc w:val="left"/>
            </w:pPr>
            <w:r>
              <w:t>51</w:t>
            </w:r>
          </w:p>
        </w:tc>
        <w:tc>
          <w:tcPr>
            <w:tcW w:w="1417" w:type="dxa"/>
            <w:vAlign w:val="bottom"/>
          </w:tcPr>
          <w:p w:rsidR="00FD06F3" w:rsidRDefault="0054425B">
            <w:pPr>
              <w:pStyle w:val="Tabletext"/>
              <w:widowControl w:val="0"/>
              <w:tabs>
                <w:tab w:val="decimal" w:pos="964"/>
              </w:tabs>
              <w:jc w:val="left"/>
            </w:pPr>
            <w:r>
              <w:t>51</w:t>
            </w:r>
          </w:p>
        </w:tc>
      </w:tr>
      <w:tr w:rsidR="00FD06F3">
        <w:trPr>
          <w:trHeight w:val="23"/>
          <w:jc w:val="center"/>
        </w:trPr>
        <w:tc>
          <w:tcPr>
            <w:tcW w:w="2721" w:type="dxa"/>
            <w:vAlign w:val="bottom"/>
          </w:tcPr>
          <w:p w:rsidR="00FD06F3" w:rsidRDefault="0054425B">
            <w:pPr>
              <w:pStyle w:val="Tabletext"/>
              <w:widowControl w:val="0"/>
              <w:ind w:left="5" w:right="-108" w:hanging="113"/>
              <w:jc w:val="left"/>
            </w:pPr>
            <w:r>
              <w:t>ООО «Хелфи-Стиль»</w:t>
            </w:r>
            <w:r>
              <w:rPr>
                <w:lang w:val="en-US"/>
              </w:rPr>
              <w:t xml:space="preserve"> (</w:t>
            </w:r>
            <w:r>
              <w:t>Прим.23)</w:t>
            </w:r>
          </w:p>
        </w:tc>
        <w:tc>
          <w:tcPr>
            <w:tcW w:w="964" w:type="dxa"/>
            <w:vAlign w:val="bottom"/>
          </w:tcPr>
          <w:p w:rsidR="00FD06F3" w:rsidRDefault="0054425B">
            <w:pPr>
              <w:pStyle w:val="Tabletext"/>
              <w:widowControl w:val="0"/>
              <w:ind w:left="-108" w:right="-108"/>
              <w:jc w:val="center"/>
            </w:pPr>
            <w:r>
              <w:t>Россия</w:t>
            </w:r>
          </w:p>
        </w:tc>
        <w:tc>
          <w:tcPr>
            <w:tcW w:w="3118" w:type="dxa"/>
            <w:vAlign w:val="bottom"/>
          </w:tcPr>
          <w:p w:rsidR="00FD06F3" w:rsidRDefault="0054425B">
            <w:pPr>
              <w:pStyle w:val="Tabletext"/>
              <w:widowControl w:val="0"/>
              <w:ind w:left="-108" w:right="-108"/>
              <w:jc w:val="center"/>
            </w:pPr>
            <w:r>
              <w:t>Оказание медицинских услуг (а)</w:t>
            </w:r>
          </w:p>
        </w:tc>
        <w:tc>
          <w:tcPr>
            <w:tcW w:w="1417" w:type="dxa"/>
            <w:vAlign w:val="bottom"/>
          </w:tcPr>
          <w:p w:rsidR="00FD06F3" w:rsidRDefault="0054425B">
            <w:pPr>
              <w:pStyle w:val="Tabletext"/>
              <w:widowControl w:val="0"/>
              <w:tabs>
                <w:tab w:val="decimal" w:pos="964"/>
              </w:tabs>
              <w:jc w:val="left"/>
            </w:pPr>
            <w:r>
              <w:t>51</w:t>
            </w:r>
          </w:p>
        </w:tc>
        <w:tc>
          <w:tcPr>
            <w:tcW w:w="1417" w:type="dxa"/>
            <w:vAlign w:val="bottom"/>
          </w:tcPr>
          <w:p w:rsidR="00FD06F3" w:rsidRDefault="0054425B">
            <w:pPr>
              <w:pStyle w:val="Tabletext"/>
              <w:widowControl w:val="0"/>
              <w:tabs>
                <w:tab w:val="decimal" w:pos="964"/>
              </w:tabs>
              <w:jc w:val="left"/>
            </w:pPr>
            <w:r>
              <w:t>51</w:t>
            </w:r>
          </w:p>
        </w:tc>
      </w:tr>
    </w:tbl>
    <w:p w:rsidR="00FD06F3" w:rsidRDefault="00FD06F3">
      <w:pPr>
        <w:widowControl w:val="0"/>
        <w:rPr>
          <w:sz w:val="12"/>
        </w:rPr>
      </w:pPr>
    </w:p>
    <w:p w:rsidR="00FD06F3" w:rsidRDefault="0054425B">
      <w:pPr>
        <w:widowControl w:val="0"/>
        <w:ind w:left="284" w:hanging="284"/>
        <w:rPr>
          <w:sz w:val="16"/>
        </w:rPr>
      </w:pPr>
      <w:r>
        <w:rPr>
          <w:sz w:val="16"/>
        </w:rPr>
        <w:t xml:space="preserve">(а) </w:t>
      </w:r>
      <w:r>
        <w:rPr>
          <w:sz w:val="16"/>
        </w:rPr>
        <w:tab/>
        <w:t>Деятельность будет начата после ввода в эксплуатацию строящейся клиники.</w:t>
      </w:r>
    </w:p>
    <w:p w:rsidR="00FD06F3" w:rsidRDefault="00FD06F3">
      <w:pPr>
        <w:widowControl w:val="0"/>
      </w:pPr>
    </w:p>
    <w:p w:rsidR="00FD06F3" w:rsidRDefault="0054425B">
      <w:pPr>
        <w:widowControl w:val="0"/>
      </w:pPr>
      <w:r>
        <w:t xml:space="preserve">Основной деятельностью Группы является производство кондитерских изделий. </w:t>
      </w:r>
    </w:p>
    <w:p w:rsidR="00FD06F3" w:rsidRDefault="00FD06F3">
      <w:pPr>
        <w:widowControl w:val="0"/>
      </w:pPr>
    </w:p>
    <w:p w:rsidR="00FD06F3" w:rsidRDefault="0054425B">
      <w:pPr>
        <w:widowControl w:val="0"/>
      </w:pPr>
      <w:r>
        <w:t>Настоящая консолидированная финансовая отчетность утверждена к выпуску Заместителем генерального директора – исполнительным директором Управляющей компании ООО «Объединенные кондитеры», действующим на основании договора о передаче полномочий единоличного и</w:t>
      </w:r>
      <w:r>
        <w:t xml:space="preserve">сполнительного органа № 002-юд от 1 сентября 2003 г. и доверенности от 10 декабря 2015 г. (Исполнительным директором) и Главным бухгалтером Компании 27 апреля 2018 г. </w:t>
      </w:r>
    </w:p>
    <w:p w:rsidR="00FD06F3" w:rsidRDefault="00FD06F3">
      <w:pPr>
        <w:widowControl w:val="0"/>
      </w:pPr>
    </w:p>
    <w:p w:rsidR="00FD06F3" w:rsidRDefault="00FD06F3">
      <w:pPr>
        <w:widowControl w:val="0"/>
      </w:pPr>
    </w:p>
    <w:p w:rsidR="00FD06F3" w:rsidRDefault="0054425B">
      <w:pPr>
        <w:pStyle w:val="12"/>
      </w:pPr>
      <w:bookmarkStart w:id="31" w:name="_Toc354762879"/>
      <w:bookmarkStart w:id="32" w:name="_Toc356225084"/>
      <w:bookmarkStart w:id="33" w:name="_Toc387743810"/>
      <w:bookmarkStart w:id="34" w:name="_Toc387743927"/>
      <w:bookmarkStart w:id="35" w:name="_Toc512452515"/>
      <w:r>
        <w:t>2.</w:t>
      </w:r>
      <w:r>
        <w:tab/>
        <w:t>Основные положения учетной политики</w:t>
      </w:r>
      <w:bookmarkEnd w:id="31"/>
      <w:bookmarkEnd w:id="32"/>
      <w:bookmarkEnd w:id="33"/>
      <w:bookmarkEnd w:id="34"/>
      <w:bookmarkEnd w:id="35"/>
    </w:p>
    <w:p w:rsidR="00FD06F3" w:rsidRDefault="00FD06F3">
      <w:pPr>
        <w:widowControl w:val="0"/>
      </w:pPr>
    </w:p>
    <w:p w:rsidR="00FD06F3" w:rsidRDefault="0054425B">
      <w:pPr>
        <w:pStyle w:val="2"/>
      </w:pPr>
      <w:bookmarkStart w:id="36" w:name="_Toc387743811"/>
      <w:r>
        <w:t>2.1</w:t>
      </w:r>
      <w:r>
        <w:tab/>
        <w:t>Заявление о соответствии</w:t>
      </w:r>
      <w:bookmarkEnd w:id="36"/>
    </w:p>
    <w:p w:rsidR="00FD06F3" w:rsidRDefault="00FD06F3">
      <w:pPr>
        <w:widowControl w:val="0"/>
      </w:pPr>
    </w:p>
    <w:p w:rsidR="00FD06F3" w:rsidRDefault="0054425B">
      <w:pPr>
        <w:widowControl w:val="0"/>
      </w:pPr>
      <w:r>
        <w:t xml:space="preserve">Настоящая </w:t>
      </w:r>
      <w:r>
        <w:t>консолидированная финансовая отчетность была подготовлена в соответствии с Международными стандартами финансовой отчетности (МСФО).</w:t>
      </w:r>
    </w:p>
    <w:p w:rsidR="00FD06F3" w:rsidRDefault="00FD06F3">
      <w:pPr>
        <w:widowControl w:val="0"/>
      </w:pPr>
    </w:p>
    <w:p w:rsidR="00FD06F3" w:rsidRDefault="0054425B">
      <w:pPr>
        <w:pStyle w:val="2"/>
      </w:pPr>
      <w:bookmarkStart w:id="37" w:name="_Toc387743812"/>
      <w:r>
        <w:t>2.2</w:t>
      </w:r>
      <w:r>
        <w:tab/>
        <w:t>Основа подготовки финансовой отчетности</w:t>
      </w:r>
      <w:bookmarkEnd w:id="37"/>
    </w:p>
    <w:p w:rsidR="00FD06F3" w:rsidRDefault="00FD06F3">
      <w:pPr>
        <w:widowControl w:val="0"/>
      </w:pPr>
    </w:p>
    <w:p w:rsidR="00FD06F3" w:rsidRDefault="0054425B">
      <w:pPr>
        <w:widowControl w:val="0"/>
      </w:pPr>
      <w:r>
        <w:t xml:space="preserve">Компании Группы ведут бухгалтерский учет в российских рублях (далее – «руб.») </w:t>
      </w:r>
      <w:r>
        <w:t>и составляют финансовую отчетность в соответствии с законодательными актами, регулирующими бухгалтерский учет и отчетность в Российской Федерации. В российскую финансовую отчетность были внесены корректировки с целью представления настоящей консолидированн</w:t>
      </w:r>
      <w:r>
        <w:t>ой финансовой отчетности в соответствии с требованиями МСФО. Основные корректировки относятся к оценке и амортизации основных средств, некоторым резервам на переоценку, использованию справедливой стоимости некоторых активов и возникающим эффектам по налогу</w:t>
      </w:r>
      <w:r>
        <w:t xml:space="preserve"> на прибыль, а также к консолидации.</w:t>
      </w:r>
    </w:p>
    <w:p w:rsidR="00FD06F3" w:rsidRDefault="00FD06F3">
      <w:pPr>
        <w:widowControl w:val="0"/>
      </w:pPr>
    </w:p>
    <w:p w:rsidR="00FD06F3" w:rsidRDefault="0054425B">
      <w:pPr>
        <w:widowControl w:val="0"/>
      </w:pPr>
      <w:r>
        <w:t>Консолидированная финансовая отчетность подготовлена в соответствии с принципом учета по фактическим затратам, за исключением отмеченного в разделе «Основные положения учетной политики».</w:t>
      </w:r>
    </w:p>
    <w:p w:rsidR="00FD06F3" w:rsidRDefault="00FD06F3">
      <w:pPr>
        <w:pStyle w:val="13"/>
        <w:sectPr w:rsidR="00FD06F3">
          <w:headerReference w:type="default" r:id="rId24"/>
          <w:footerReference w:type="default" r:id="rId25"/>
          <w:headerReference w:type="first" r:id="rId26"/>
          <w:footerReference w:type="first" r:id="rId27"/>
          <w:pgSz w:w="11907" w:h="16840" w:code="9"/>
          <w:pgMar w:top="1134" w:right="851" w:bottom="851" w:left="1418" w:header="720" w:footer="720" w:gutter="0"/>
          <w:cols w:space="720"/>
          <w:docGrid w:linePitch="360"/>
        </w:sectPr>
      </w:pPr>
    </w:p>
    <w:p w:rsidR="00FD06F3" w:rsidRDefault="0054425B">
      <w:pPr>
        <w:pStyle w:val="13"/>
      </w:pPr>
      <w:r>
        <w:lastRenderedPageBreak/>
        <w:t>2.</w:t>
      </w:r>
      <w:r>
        <w:tab/>
        <w:t>ОСНОВНЫЕ ПОЛОЖЕНИЯ УЧЕТНОЙ ПОЛИТИКИ (</w:t>
      </w:r>
      <w:r>
        <w:rPr>
          <w:caps w:val="0"/>
        </w:rPr>
        <w:t>продолжение</w:t>
      </w:r>
      <w:r>
        <w:t>)</w:t>
      </w:r>
    </w:p>
    <w:p w:rsidR="00FD06F3" w:rsidRDefault="00FD06F3">
      <w:pPr>
        <w:widowControl w:val="0"/>
      </w:pPr>
    </w:p>
    <w:p w:rsidR="00FD06F3" w:rsidRDefault="0054425B">
      <w:pPr>
        <w:pStyle w:val="2"/>
      </w:pPr>
      <w:bookmarkStart w:id="38" w:name="_Toc92110531"/>
      <w:bookmarkStart w:id="39" w:name="_Toc92114998"/>
      <w:bookmarkStart w:id="40" w:name="_Toc92115066"/>
      <w:bookmarkStart w:id="41" w:name="_Toc387743813"/>
      <w:bookmarkEnd w:id="38"/>
      <w:bookmarkEnd w:id="39"/>
      <w:bookmarkEnd w:id="40"/>
      <w:r>
        <w:t>2.3</w:t>
      </w:r>
      <w:r>
        <w:tab/>
        <w:t>Изменения в учетной политике</w:t>
      </w:r>
      <w:bookmarkEnd w:id="41"/>
    </w:p>
    <w:p w:rsidR="00FD06F3" w:rsidRDefault="00FD06F3">
      <w:pPr>
        <w:widowControl w:val="0"/>
        <w:rPr>
          <w:caps/>
        </w:rPr>
      </w:pPr>
    </w:p>
    <w:p w:rsidR="00FD06F3" w:rsidRDefault="0054425B">
      <w:pPr>
        <w:widowControl w:val="0"/>
      </w:pPr>
      <w:r>
        <w:t xml:space="preserve">Учетная политика, примененная при </w:t>
      </w:r>
      <w:r>
        <w:t>подготовке консолидированной финансовой отчетности за год по 31 декабря 2017 г., соответствует политике, использованной при подготовке годовой консолидированной финансовой отчетности Группы за год по 31 декабря 2016 г., за исключением применения Группой но</w:t>
      </w:r>
      <w:r>
        <w:t>вых стандартов и интерпретаций. Ниже указаны характер и влияние каждого нового стандарта и поправок.</w:t>
      </w:r>
    </w:p>
    <w:p w:rsidR="00FD06F3" w:rsidRDefault="00FD06F3">
      <w:pPr>
        <w:widowControl w:val="0"/>
      </w:pPr>
    </w:p>
    <w:p w:rsidR="00FD06F3" w:rsidRDefault="0054425B">
      <w:pPr>
        <w:pStyle w:val="Default"/>
        <w:jc w:val="both"/>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Новые стандарты, разъяснения и поправки к действующим стандартам и разъяснениям </w:t>
      </w:r>
    </w:p>
    <w:p w:rsidR="00FD06F3" w:rsidRDefault="00FD06F3">
      <w:pPr>
        <w:pStyle w:val="Default"/>
        <w:jc w:val="both"/>
        <w:rPr>
          <w:rFonts w:ascii="Times New Roman" w:hAnsi="Times New Roman" w:cs="Times New Roman"/>
          <w:b/>
          <w:bCs/>
          <w:color w:val="auto"/>
          <w:sz w:val="20"/>
          <w:szCs w:val="20"/>
        </w:rPr>
      </w:pPr>
    </w:p>
    <w:p w:rsidR="00FD06F3" w:rsidRDefault="0054425B">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С 1 января 2017 г. вступили в силу следующие новые стандарты и поправки:</w:t>
      </w:r>
      <w:r>
        <w:rPr>
          <w:rFonts w:ascii="Times New Roman" w:hAnsi="Times New Roman" w:cs="Times New Roman"/>
          <w:color w:val="auto"/>
          <w:sz w:val="20"/>
          <w:szCs w:val="20"/>
        </w:rPr>
        <w:t xml:space="preserve"> </w:t>
      </w:r>
    </w:p>
    <w:p w:rsidR="00FD06F3" w:rsidRDefault="0054425B">
      <w:pPr>
        <w:pStyle w:val="Default"/>
        <w:numPr>
          <w:ilvl w:val="0"/>
          <w:numId w:val="46"/>
        </w:numPr>
        <w:spacing w:before="120"/>
        <w:ind w:left="567" w:hanging="567"/>
        <w:jc w:val="both"/>
        <w:rPr>
          <w:rFonts w:ascii="Times New Roman" w:hAnsi="Times New Roman" w:cs="Times New Roman"/>
          <w:i/>
          <w:iCs/>
          <w:color w:val="auto"/>
          <w:sz w:val="20"/>
          <w:szCs w:val="20"/>
        </w:rPr>
      </w:pPr>
      <w:r>
        <w:rPr>
          <w:rFonts w:ascii="Times New Roman" w:hAnsi="Times New Roman" w:cs="Times New Roman"/>
          <w:iCs/>
          <w:color w:val="auto"/>
          <w:sz w:val="20"/>
          <w:szCs w:val="20"/>
        </w:rPr>
        <w:t xml:space="preserve">Поправки к МСФО (IAS) 7 </w:t>
      </w:r>
      <w:r>
        <w:rPr>
          <w:rFonts w:ascii="Times New Roman" w:hAnsi="Times New Roman" w:cs="Times New Roman"/>
          <w:i/>
          <w:iCs/>
          <w:color w:val="auto"/>
          <w:sz w:val="20"/>
          <w:szCs w:val="20"/>
        </w:rPr>
        <w:t xml:space="preserve">«Отчет о движении денежных средств» – «Инициатива в сфере раскрытия информации»; </w:t>
      </w:r>
    </w:p>
    <w:p w:rsidR="00FD06F3" w:rsidRDefault="0054425B">
      <w:pPr>
        <w:pStyle w:val="Default"/>
        <w:numPr>
          <w:ilvl w:val="0"/>
          <w:numId w:val="46"/>
        </w:numPr>
        <w:spacing w:before="120"/>
        <w:ind w:left="567" w:hanging="567"/>
        <w:jc w:val="both"/>
        <w:rPr>
          <w:rFonts w:ascii="Times New Roman" w:hAnsi="Times New Roman" w:cs="Times New Roman"/>
          <w:i/>
          <w:iCs/>
          <w:color w:val="auto"/>
          <w:sz w:val="20"/>
          <w:szCs w:val="20"/>
        </w:rPr>
      </w:pPr>
      <w:r>
        <w:rPr>
          <w:rFonts w:ascii="Times New Roman" w:hAnsi="Times New Roman" w:cs="Times New Roman"/>
          <w:iCs/>
          <w:color w:val="auto"/>
          <w:sz w:val="20"/>
          <w:szCs w:val="20"/>
        </w:rPr>
        <w:t xml:space="preserve">Поправки к МСФО (IFRS) 12 </w:t>
      </w:r>
      <w:r>
        <w:rPr>
          <w:rFonts w:ascii="Times New Roman" w:hAnsi="Times New Roman" w:cs="Times New Roman"/>
          <w:i/>
          <w:iCs/>
          <w:color w:val="auto"/>
          <w:sz w:val="20"/>
          <w:szCs w:val="20"/>
        </w:rPr>
        <w:t>«Раскрытие информации об участии в других компаниях» – «Разъяснение сферы применения требований к раскрытию информации в М</w:t>
      </w:r>
      <w:r>
        <w:rPr>
          <w:rFonts w:ascii="Times New Roman" w:hAnsi="Times New Roman" w:cs="Times New Roman"/>
          <w:i/>
          <w:iCs/>
          <w:color w:val="auto"/>
          <w:sz w:val="20"/>
          <w:szCs w:val="20"/>
        </w:rPr>
        <w:t xml:space="preserve">СФО (IFRS) 12», </w:t>
      </w:r>
      <w:r>
        <w:rPr>
          <w:rFonts w:ascii="Times New Roman" w:hAnsi="Times New Roman" w:cs="Times New Roman"/>
          <w:iCs/>
          <w:color w:val="auto"/>
          <w:sz w:val="20"/>
          <w:szCs w:val="20"/>
        </w:rPr>
        <w:t>документ</w:t>
      </w:r>
      <w:r>
        <w:rPr>
          <w:rFonts w:ascii="Times New Roman" w:hAnsi="Times New Roman" w:cs="Times New Roman"/>
          <w:i/>
          <w:iCs/>
          <w:color w:val="auto"/>
          <w:sz w:val="20"/>
          <w:szCs w:val="20"/>
        </w:rPr>
        <w:t xml:space="preserve"> «Ежегодные усовершенствования МСФО, период 2014-2016 гг.»; </w:t>
      </w:r>
    </w:p>
    <w:p w:rsidR="00FD06F3" w:rsidRDefault="0054425B">
      <w:pPr>
        <w:pStyle w:val="Default"/>
        <w:numPr>
          <w:ilvl w:val="0"/>
          <w:numId w:val="46"/>
        </w:numPr>
        <w:spacing w:before="120"/>
        <w:ind w:left="567" w:hanging="567"/>
        <w:jc w:val="both"/>
        <w:rPr>
          <w:rFonts w:ascii="Times New Roman" w:hAnsi="Times New Roman" w:cs="Times New Roman"/>
          <w:i/>
          <w:iCs/>
          <w:color w:val="auto"/>
          <w:sz w:val="20"/>
          <w:szCs w:val="20"/>
        </w:rPr>
      </w:pPr>
      <w:r>
        <w:rPr>
          <w:rFonts w:ascii="Times New Roman" w:hAnsi="Times New Roman" w:cs="Times New Roman"/>
          <w:iCs/>
          <w:color w:val="auto"/>
          <w:sz w:val="20"/>
          <w:szCs w:val="20"/>
        </w:rPr>
        <w:t xml:space="preserve">Поправки к МСФО (IAS) 12 </w:t>
      </w:r>
      <w:r>
        <w:rPr>
          <w:rFonts w:ascii="Times New Roman" w:hAnsi="Times New Roman" w:cs="Times New Roman"/>
          <w:i/>
          <w:iCs/>
          <w:color w:val="auto"/>
          <w:sz w:val="20"/>
          <w:szCs w:val="20"/>
        </w:rPr>
        <w:t xml:space="preserve">«Налоги на прибыль» – «Признание отложенных налоговых активов в отношении нереализованных убытков». </w:t>
      </w:r>
    </w:p>
    <w:p w:rsidR="00FD06F3" w:rsidRDefault="00FD06F3">
      <w:pPr>
        <w:pStyle w:val="Default"/>
        <w:jc w:val="both"/>
        <w:rPr>
          <w:rFonts w:ascii="Times New Roman" w:hAnsi="Times New Roman" w:cs="Times New Roman"/>
          <w:iCs/>
          <w:color w:val="auto"/>
          <w:sz w:val="20"/>
          <w:szCs w:val="20"/>
        </w:rPr>
      </w:pPr>
    </w:p>
    <w:p w:rsidR="00FD06F3" w:rsidRDefault="0054425B">
      <w:pPr>
        <w:pStyle w:val="Default"/>
        <w:tabs>
          <w:tab w:val="left" w:pos="5041"/>
        </w:tabs>
        <w:jc w:val="both"/>
        <w:rPr>
          <w:sz w:val="20"/>
          <w:szCs w:val="20"/>
        </w:rPr>
      </w:pPr>
      <w:r>
        <w:rPr>
          <w:rFonts w:ascii="Times New Roman" w:hAnsi="Times New Roman" w:cs="Times New Roman"/>
          <w:iCs/>
          <w:color w:val="auto"/>
          <w:sz w:val="20"/>
          <w:szCs w:val="20"/>
        </w:rPr>
        <w:t>Характер и влияние каждой поправки описаны н</w:t>
      </w:r>
      <w:r>
        <w:rPr>
          <w:rFonts w:ascii="Times New Roman" w:hAnsi="Times New Roman" w:cs="Times New Roman"/>
          <w:iCs/>
          <w:color w:val="auto"/>
          <w:sz w:val="20"/>
          <w:szCs w:val="20"/>
        </w:rPr>
        <w:t>иже:</w:t>
      </w:r>
    </w:p>
    <w:p w:rsidR="00FD06F3" w:rsidRDefault="00FD06F3">
      <w:pPr>
        <w:pStyle w:val="Default"/>
        <w:jc w:val="both"/>
        <w:rPr>
          <w:rFonts w:ascii="Times New Roman" w:hAnsi="Times New Roman" w:cs="Times New Roman"/>
          <w:i/>
          <w:iCs/>
          <w:color w:val="auto"/>
          <w:sz w:val="20"/>
          <w:szCs w:val="20"/>
        </w:rPr>
      </w:pPr>
    </w:p>
    <w:p w:rsidR="00FD06F3" w:rsidRDefault="0054425B">
      <w:pPr>
        <w:pStyle w:val="Default"/>
        <w:jc w:val="both"/>
        <w:rPr>
          <w:rFonts w:ascii="Times New Roman" w:hAnsi="Times New Roman" w:cs="Times New Roman"/>
          <w:i/>
          <w:iCs/>
          <w:color w:val="auto"/>
          <w:sz w:val="20"/>
          <w:szCs w:val="20"/>
        </w:rPr>
      </w:pPr>
      <w:r>
        <w:rPr>
          <w:rFonts w:ascii="Times New Roman" w:hAnsi="Times New Roman" w:cs="Times New Roman"/>
          <w:i/>
          <w:iCs/>
          <w:color w:val="auto"/>
          <w:sz w:val="20"/>
          <w:szCs w:val="20"/>
        </w:rPr>
        <w:t xml:space="preserve">Поправки к МСФО (IAS) 7 «Отчет о движении денежных средств» – «Инициатива в сфере раскрытия информации» </w:t>
      </w:r>
    </w:p>
    <w:p w:rsidR="00FD06F3" w:rsidRDefault="00FD06F3">
      <w:pPr>
        <w:pStyle w:val="Default"/>
        <w:jc w:val="both"/>
        <w:rPr>
          <w:rFonts w:ascii="Times New Roman" w:hAnsi="Times New Roman" w:cs="Times New Roman"/>
          <w:i/>
          <w:iCs/>
          <w:color w:val="auto"/>
          <w:sz w:val="20"/>
          <w:szCs w:val="20"/>
        </w:rPr>
      </w:pPr>
    </w:p>
    <w:p w:rsidR="00FD06F3" w:rsidRDefault="0054425B">
      <w:pPr>
        <w:pStyle w:val="Default"/>
        <w:jc w:val="both"/>
        <w:rPr>
          <w:sz w:val="20"/>
          <w:szCs w:val="20"/>
        </w:rPr>
      </w:pPr>
      <w:r>
        <w:rPr>
          <w:rFonts w:ascii="Times New Roman" w:hAnsi="Times New Roman" w:cs="Times New Roman"/>
          <w:color w:val="auto"/>
          <w:sz w:val="20"/>
          <w:szCs w:val="20"/>
        </w:rPr>
        <w:t>Поправки требуют от компаний раскрытие информации об изменениях в обязательствах, обусловленных финансовой деятельностью, включая как изменения,</w:t>
      </w:r>
      <w:r>
        <w:rPr>
          <w:rFonts w:ascii="Times New Roman" w:hAnsi="Times New Roman" w:cs="Times New Roman"/>
          <w:color w:val="auto"/>
          <w:sz w:val="20"/>
          <w:szCs w:val="20"/>
        </w:rPr>
        <w:t xml:space="preserve"> обусловленные денежными потоками, так и изменения, не обусловленные ими (например, прибыль или убытки от изменения валютных курсов). Группа раскрыла дополнительную информацию в Примечании 21 данной консолидированной финансовой отчетности за год, закончивш</w:t>
      </w:r>
      <w:r>
        <w:rPr>
          <w:rFonts w:ascii="Times New Roman" w:hAnsi="Times New Roman" w:cs="Times New Roman"/>
          <w:color w:val="auto"/>
          <w:sz w:val="20"/>
          <w:szCs w:val="20"/>
        </w:rPr>
        <w:t>ийся 31 декабря 2017 г.</w:t>
      </w:r>
    </w:p>
    <w:p w:rsidR="00FD06F3" w:rsidRDefault="00FD06F3">
      <w:pPr>
        <w:pStyle w:val="Default"/>
        <w:jc w:val="both"/>
        <w:rPr>
          <w:sz w:val="20"/>
          <w:szCs w:val="20"/>
        </w:rPr>
      </w:pPr>
    </w:p>
    <w:p w:rsidR="00FD06F3" w:rsidRDefault="0054425B">
      <w:pPr>
        <w:pStyle w:val="Default"/>
        <w:jc w:val="both"/>
        <w:rPr>
          <w:rFonts w:ascii="Times New Roman" w:hAnsi="Times New Roman" w:cs="Times New Roman"/>
          <w:i/>
          <w:iCs/>
          <w:color w:val="auto"/>
          <w:sz w:val="20"/>
          <w:szCs w:val="20"/>
        </w:rPr>
      </w:pPr>
      <w:r>
        <w:rPr>
          <w:rFonts w:ascii="Times New Roman" w:hAnsi="Times New Roman" w:cs="Times New Roman"/>
          <w:i/>
          <w:iCs/>
          <w:color w:val="auto"/>
          <w:sz w:val="20"/>
          <w:szCs w:val="20"/>
        </w:rPr>
        <w:t xml:space="preserve">Поправки к МСФО (IAS) 12 «Налоги на прибыль» – «Признание отложенных налоговых активов в отношении нереализованных убытков» </w:t>
      </w:r>
    </w:p>
    <w:p w:rsidR="00FD06F3" w:rsidRDefault="00FD06F3">
      <w:pPr>
        <w:pStyle w:val="Default"/>
        <w:jc w:val="both"/>
        <w:rPr>
          <w:rFonts w:ascii="Times New Roman" w:hAnsi="Times New Roman" w:cs="Times New Roman"/>
          <w:i/>
          <w:iCs/>
          <w:color w:val="auto"/>
          <w:sz w:val="20"/>
          <w:szCs w:val="20"/>
        </w:rPr>
      </w:pPr>
    </w:p>
    <w:p w:rsidR="00FD06F3" w:rsidRDefault="0054425B">
      <w:pPr>
        <w:pStyle w:val="Default"/>
        <w:jc w:val="both"/>
        <w:rPr>
          <w:sz w:val="20"/>
          <w:szCs w:val="20"/>
        </w:rPr>
      </w:pPr>
      <w:r>
        <w:rPr>
          <w:rFonts w:ascii="Times New Roman" w:hAnsi="Times New Roman" w:cs="Times New Roman"/>
          <w:color w:val="auto"/>
          <w:sz w:val="20"/>
          <w:szCs w:val="20"/>
        </w:rPr>
        <w:t xml:space="preserve">Поправки разъясняют, что компании должны учитывать то, ограничивает ли налоговое законодательство </w:t>
      </w:r>
      <w:r>
        <w:rPr>
          <w:rFonts w:ascii="Times New Roman" w:hAnsi="Times New Roman" w:cs="Times New Roman"/>
          <w:color w:val="auto"/>
          <w:sz w:val="20"/>
          <w:szCs w:val="20"/>
        </w:rPr>
        <w:t>источники налогооблагаемой прибыли, против которой они могут делать вычеты при восстановлении такой вычитаемой временной разницы, связанной с нереализованными убытками. Кроме того, поправки содержат указания в отношении того, как компании должны определять</w:t>
      </w:r>
      <w:r>
        <w:rPr>
          <w:rFonts w:ascii="Times New Roman" w:hAnsi="Times New Roman" w:cs="Times New Roman"/>
          <w:color w:val="auto"/>
          <w:sz w:val="20"/>
          <w:szCs w:val="20"/>
        </w:rPr>
        <w:t xml:space="preserve"> будущую налогооблагаемую прибыль, и описывают обстоятельства, при которых налогооблагаемая прибыль может предусматривать возмещение некоторых активов в сумме, превышающей их балансовую стоимость. Группа не имеет вычитаемых временных разниц или активов, ко</w:t>
      </w:r>
      <w:r>
        <w:rPr>
          <w:rFonts w:ascii="Times New Roman" w:hAnsi="Times New Roman" w:cs="Times New Roman"/>
          <w:color w:val="auto"/>
          <w:sz w:val="20"/>
          <w:szCs w:val="20"/>
        </w:rPr>
        <w:t>торые относятся к сфере применения данных поправок.</w:t>
      </w:r>
      <w:r>
        <w:rPr>
          <w:sz w:val="20"/>
          <w:szCs w:val="20"/>
        </w:rPr>
        <w:t xml:space="preserve"> </w:t>
      </w:r>
    </w:p>
    <w:p w:rsidR="00FD06F3" w:rsidRDefault="00FD06F3">
      <w:pPr>
        <w:pStyle w:val="Default"/>
        <w:jc w:val="both"/>
        <w:rPr>
          <w:sz w:val="20"/>
          <w:szCs w:val="20"/>
        </w:rPr>
      </w:pPr>
    </w:p>
    <w:p w:rsidR="00FD06F3" w:rsidRDefault="0054425B">
      <w:pPr>
        <w:pStyle w:val="Default"/>
        <w:jc w:val="both"/>
        <w:rPr>
          <w:rFonts w:ascii="Times New Roman" w:hAnsi="Times New Roman" w:cs="Times New Roman"/>
          <w:i/>
          <w:iCs/>
          <w:color w:val="auto"/>
          <w:sz w:val="20"/>
          <w:szCs w:val="20"/>
        </w:rPr>
      </w:pPr>
      <w:r>
        <w:rPr>
          <w:rFonts w:ascii="Times New Roman" w:hAnsi="Times New Roman" w:cs="Times New Roman"/>
          <w:i/>
          <w:iCs/>
          <w:color w:val="auto"/>
          <w:sz w:val="20"/>
          <w:szCs w:val="20"/>
        </w:rPr>
        <w:t xml:space="preserve">Поправки к МСФО (IFRS) 12 «Раскрытие информации об участии в других компаниях» – «Разъяснение сферы применения требований к раскрытию информации в МСФО (IFRS) 12» </w:t>
      </w:r>
    </w:p>
    <w:p w:rsidR="00FD06F3" w:rsidRDefault="00FD06F3">
      <w:pPr>
        <w:pStyle w:val="Default"/>
        <w:jc w:val="both"/>
        <w:rPr>
          <w:rFonts w:ascii="Times New Roman" w:hAnsi="Times New Roman" w:cs="Times New Roman"/>
          <w:i/>
          <w:iCs/>
          <w:color w:val="auto"/>
          <w:sz w:val="20"/>
          <w:szCs w:val="20"/>
        </w:rPr>
      </w:pPr>
    </w:p>
    <w:p w:rsidR="00FD06F3" w:rsidRDefault="0054425B">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Поправки разъясняют, что требования к</w:t>
      </w:r>
      <w:r>
        <w:rPr>
          <w:rFonts w:ascii="Times New Roman" w:hAnsi="Times New Roman" w:cs="Times New Roman"/>
          <w:color w:val="auto"/>
          <w:sz w:val="20"/>
          <w:szCs w:val="20"/>
        </w:rPr>
        <w:t xml:space="preserve"> раскрытию информации в МСФО (IFRS) 12, за исключением описанных в пунктах B10-B16, применяются в отношении доли участия компании в дочерней компании, совместном предприятии или ассоциированной компании (или части доли в совместном предприятии или ассоциир</w:t>
      </w:r>
      <w:r>
        <w:rPr>
          <w:rFonts w:ascii="Times New Roman" w:hAnsi="Times New Roman" w:cs="Times New Roman"/>
          <w:color w:val="auto"/>
          <w:sz w:val="20"/>
          <w:szCs w:val="20"/>
        </w:rPr>
        <w:t>ованной компании), которая классифицируется (или включается в состав выбывающей группы, которая классифицируется) как предназначенная для продажи. Данные поправки не оказали влияния на Группу, поскольку в течение указанного периода Группа не имела доли уча</w:t>
      </w:r>
      <w:r>
        <w:rPr>
          <w:rFonts w:ascii="Times New Roman" w:hAnsi="Times New Roman" w:cs="Times New Roman"/>
          <w:color w:val="auto"/>
          <w:sz w:val="20"/>
          <w:szCs w:val="20"/>
        </w:rPr>
        <w:t>стия в дочерней компании, совместном предприятии или ассоциированной компании, которая классифицируется как предназначенная для продажи.</w:t>
      </w:r>
    </w:p>
    <w:p w:rsidR="00FD06F3" w:rsidRDefault="0054425B">
      <w:pPr>
        <w:jc w:val="left"/>
        <w:rPr>
          <w:b/>
          <w:caps/>
        </w:rPr>
      </w:pPr>
      <w:r>
        <w:br w:type="page"/>
      </w:r>
    </w:p>
    <w:p w:rsidR="00FD06F3" w:rsidRDefault="0054425B">
      <w:pPr>
        <w:pStyle w:val="13"/>
      </w:pPr>
      <w:r>
        <w:lastRenderedPageBreak/>
        <w:t>2.</w:t>
      </w:r>
      <w:r>
        <w:tab/>
        <w:t>ОСНОВНЫЕ ПОЛОЖЕНИЯ УЧЕТНОЙ ПОЛИТИКИ (</w:t>
      </w:r>
      <w:r>
        <w:rPr>
          <w:caps w:val="0"/>
        </w:rPr>
        <w:t>продолжение</w:t>
      </w:r>
      <w:r>
        <w:t>)</w:t>
      </w:r>
    </w:p>
    <w:p w:rsidR="00FD06F3" w:rsidRDefault="00FD06F3">
      <w:pPr>
        <w:widowControl w:val="0"/>
      </w:pPr>
    </w:p>
    <w:p w:rsidR="00FD06F3" w:rsidRDefault="0054425B">
      <w:pPr>
        <w:pStyle w:val="2"/>
      </w:pPr>
      <w:r>
        <w:t>2.3</w:t>
      </w:r>
      <w:r>
        <w:tab/>
        <w:t>Изменения в учетной политике (продолжение)</w:t>
      </w:r>
    </w:p>
    <w:p w:rsidR="00FD06F3" w:rsidRDefault="00FD06F3">
      <w:pPr>
        <w:pStyle w:val="Default"/>
        <w:rPr>
          <w:rFonts w:ascii="Times New Roman" w:hAnsi="Times New Roman" w:cs="Times New Roman"/>
          <w:i/>
          <w:iCs/>
          <w:color w:val="auto"/>
          <w:sz w:val="20"/>
          <w:szCs w:val="20"/>
        </w:rPr>
      </w:pPr>
    </w:p>
    <w:p w:rsidR="00FD06F3" w:rsidRDefault="0054425B">
      <w:pPr>
        <w:widowControl w:val="0"/>
        <w:rPr>
          <w:b/>
          <w:bCs/>
        </w:rPr>
      </w:pPr>
      <w:r>
        <w:rPr>
          <w:b/>
          <w:bCs/>
        </w:rPr>
        <w:t>Стандарты, кото</w:t>
      </w:r>
      <w:r>
        <w:rPr>
          <w:b/>
          <w:bCs/>
        </w:rPr>
        <w:t>рые были выпущены, но еще не вступили в силу</w:t>
      </w:r>
    </w:p>
    <w:p w:rsidR="00FD06F3" w:rsidRDefault="0054425B">
      <w:pPr>
        <w:widowControl w:val="0"/>
      </w:pPr>
      <w:r>
        <w:rPr>
          <w:b/>
          <w:bCs/>
        </w:rPr>
        <w:t xml:space="preserve"> </w:t>
      </w:r>
    </w:p>
    <w:p w:rsidR="00FD06F3" w:rsidRDefault="0054425B">
      <w:pPr>
        <w:widowControl w:val="0"/>
        <w:rPr>
          <w:i/>
          <w:iCs/>
        </w:rPr>
      </w:pPr>
      <w:r>
        <w:rPr>
          <w:i/>
          <w:iCs/>
        </w:rPr>
        <w:t>МСФО (IFRS) 9 «Финансовые инструменты»</w:t>
      </w:r>
    </w:p>
    <w:p w:rsidR="00FD06F3" w:rsidRDefault="0054425B">
      <w:pPr>
        <w:widowControl w:val="0"/>
      </w:pPr>
      <w:r>
        <w:rPr>
          <w:i/>
          <w:iCs/>
        </w:rPr>
        <w:t xml:space="preserve"> </w:t>
      </w:r>
    </w:p>
    <w:p w:rsidR="00FD06F3" w:rsidRDefault="0054425B">
      <w:pPr>
        <w:widowControl w:val="0"/>
      </w:pPr>
      <w:r>
        <w:t xml:space="preserve">В июле 2014 года Совет по МСФО опубликовал окончательную версию МСФО (IFRS) 9 </w:t>
      </w:r>
      <w:r>
        <w:rPr>
          <w:i/>
        </w:rPr>
        <w:t>«Финансовые инструменты»</w:t>
      </w:r>
      <w:r>
        <w:t xml:space="preserve">, которая заменяет МСФО (IAS) 39 </w:t>
      </w:r>
      <w:r>
        <w:rPr>
          <w:i/>
        </w:rPr>
        <w:t>«Финансовые инструменты: признани</w:t>
      </w:r>
      <w:r>
        <w:rPr>
          <w:i/>
        </w:rPr>
        <w:t>е и оценка»</w:t>
      </w:r>
      <w:r>
        <w:t>, а также все предыдущие версии МСФО (IFRS) 9. МСФО (IFRS) 9 объединяет все три аспекта учета финансовых инструментов: классификацию и оценку, обесценение и учет хеджирования. МСФО (IFRS) 9 вступает в силу для годовых отчетных периодов, начинающ</w:t>
      </w:r>
      <w:r>
        <w:t>ихся 1 января 2018 г. или после этой даты. Допускается досрочное применение. Группа планирует начать применение данного стандарта на дату его вступления в силу. Группа оценила влияние МСФО (IFRS) 9 на консолидированную финансовую отчетность следующим образ</w:t>
      </w:r>
      <w:r>
        <w:t>ом:</w:t>
      </w:r>
    </w:p>
    <w:p w:rsidR="00FD06F3" w:rsidRDefault="00FD06F3">
      <w:pPr>
        <w:widowControl w:val="0"/>
        <w:rPr>
          <w:i/>
        </w:rPr>
      </w:pPr>
    </w:p>
    <w:p w:rsidR="00FD06F3" w:rsidRDefault="0054425B">
      <w:pPr>
        <w:widowControl w:val="0"/>
        <w:ind w:left="567" w:hanging="567"/>
        <w:rPr>
          <w:i/>
        </w:rPr>
      </w:pPr>
      <w:r>
        <w:rPr>
          <w:i/>
        </w:rPr>
        <w:t xml:space="preserve">(а) </w:t>
      </w:r>
      <w:r>
        <w:rPr>
          <w:i/>
        </w:rPr>
        <w:tab/>
        <w:t xml:space="preserve">Классификация и оценка </w:t>
      </w:r>
    </w:p>
    <w:p w:rsidR="00FD06F3" w:rsidRDefault="00FD06F3">
      <w:pPr>
        <w:widowControl w:val="0"/>
      </w:pPr>
    </w:p>
    <w:p w:rsidR="00FD06F3" w:rsidRDefault="0054425B">
      <w:pPr>
        <w:widowControl w:val="0"/>
      </w:pPr>
      <w:r>
        <w:t>МСФО (IFRS) 9 представляет новый подход к классификации и оценке финансовых активов, отражающий бизнес-модель, в рамках которой осуществляется управление активами, и характеристики денежных потоков. МСФО (IFRS) 9 устанавл</w:t>
      </w:r>
      <w:r>
        <w:t>ивает три основных категории классификации финансовых активов: активы, оцениваемые по амортизированной стоимости, активы, оцениваемые по справедливой стоимости через прочий совокупный доход, и активы, оцениваемые по справедливой стоимости через прибыль или</w:t>
      </w:r>
      <w:r>
        <w:t xml:space="preserve"> убыток. Это исключает существующие в соответствии с МСФО (IAS) 39 категории: финансовые активы, удерживаемые до погашения, займы и дебиторская задолженность и финансовые активы, имеющиеся в наличии для продажи. </w:t>
      </w:r>
    </w:p>
    <w:p w:rsidR="00FD06F3" w:rsidRDefault="00FD06F3">
      <w:pPr>
        <w:widowControl w:val="0"/>
      </w:pPr>
    </w:p>
    <w:p w:rsidR="00FD06F3" w:rsidRDefault="0054425B">
      <w:pPr>
        <w:widowControl w:val="0"/>
      </w:pPr>
      <w:r>
        <w:t>Группа проанализировала предусмотренные до</w:t>
      </w:r>
      <w:r>
        <w:t>говорами денежные потоки, которые относятся к данным инструментам, и вынесла заключение о соответствии указанных инструментов критериям оценки по амортизированной стоимости и по справедливой стоимости через прочий совокупный доход в соответствии с МСФО (IF</w:t>
      </w:r>
      <w:r>
        <w:t>RS) 9. Переклассификация данных инструментов не требуется.</w:t>
      </w:r>
    </w:p>
    <w:p w:rsidR="00FD06F3" w:rsidRDefault="00FD06F3">
      <w:pPr>
        <w:widowControl w:val="0"/>
      </w:pPr>
    </w:p>
    <w:p w:rsidR="00FD06F3" w:rsidRDefault="0054425B">
      <w:pPr>
        <w:widowControl w:val="0"/>
        <w:ind w:left="567" w:hanging="567"/>
      </w:pPr>
      <w:r>
        <w:rPr>
          <w:i/>
        </w:rPr>
        <w:t xml:space="preserve">(б) </w:t>
      </w:r>
      <w:r>
        <w:rPr>
          <w:i/>
        </w:rPr>
        <w:tab/>
        <w:t>Обесценение</w:t>
      </w:r>
    </w:p>
    <w:p w:rsidR="00FD06F3" w:rsidRDefault="00FD06F3"/>
    <w:p w:rsidR="00FD06F3" w:rsidRDefault="0054425B">
      <w:r>
        <w:t>В соответствии с МСФО (IFRS) 9 вводится новая модель обесценения, согласно которой признание резервов под обесценение основывается на ожидаемых кредитных убытках, а не исключител</w:t>
      </w:r>
      <w:r>
        <w:t>ьно на фактически понесенных кредитных убытках в соответствии с МСФО (IAS) 39. Ожидаемые кредитные убытки используются для оценки кредитного риска по активам. Для этого необходимо применить оценочные суждения относительно того, каким образом изменение экон</w:t>
      </w:r>
      <w:r>
        <w:t>омических условий повлияло на сумму ожидаемых кредитных убытков, определенную на основе расчета результата, взвешенного с учетом вероятности. Новая модель расчета обесценения применима к финансовым активам Группы, включая, в частности, займы выданные, торг</w:t>
      </w:r>
      <w:r>
        <w:t>овую и прочую дебиторскую задолженность, денежные средства и их эквиваленты.</w:t>
      </w:r>
    </w:p>
    <w:p w:rsidR="00FD06F3" w:rsidRDefault="00FD06F3"/>
    <w:p w:rsidR="00FD06F3" w:rsidRDefault="0054425B">
      <w:r>
        <w:t>Резерв под убытки оценивается одним из указанных ниже способов:</w:t>
      </w:r>
    </w:p>
    <w:p w:rsidR="00FD06F3" w:rsidRDefault="0054425B">
      <w:pPr>
        <w:pStyle w:val="ListParagraph"/>
        <w:numPr>
          <w:ilvl w:val="0"/>
          <w:numId w:val="37"/>
        </w:numPr>
        <w:spacing w:before="120"/>
        <w:ind w:left="567" w:hanging="567"/>
        <w:jc w:val="both"/>
      </w:pPr>
      <w:r>
        <w:rPr>
          <w:rFonts w:ascii="Times New Roman" w:hAnsi="Times New Roman" w:cs="Times New Roman"/>
          <w:sz w:val="20"/>
          <w:szCs w:val="20"/>
        </w:rPr>
        <w:t xml:space="preserve">на основе 12-месячных ожидаемых убытков, которые представляют собой ожидаемые кредитные убытки, возникающие вследствие дефолтов по финансовому инструменту, и возможные в течение 12 месяцев после отчетной даты; или </w:t>
      </w:r>
    </w:p>
    <w:p w:rsidR="00FD06F3" w:rsidRDefault="0054425B">
      <w:pPr>
        <w:pStyle w:val="ListParagraph"/>
        <w:numPr>
          <w:ilvl w:val="0"/>
          <w:numId w:val="37"/>
        </w:numPr>
        <w:spacing w:before="120"/>
        <w:ind w:left="567" w:hanging="567"/>
        <w:jc w:val="both"/>
      </w:pPr>
      <w:r>
        <w:rPr>
          <w:rFonts w:ascii="Times New Roman" w:hAnsi="Times New Roman" w:cs="Times New Roman"/>
          <w:sz w:val="20"/>
          <w:szCs w:val="20"/>
        </w:rPr>
        <w:t xml:space="preserve">на основе ожидаемых кредитных убытков за </w:t>
      </w:r>
      <w:r>
        <w:rPr>
          <w:rFonts w:ascii="Times New Roman" w:hAnsi="Times New Roman" w:cs="Times New Roman"/>
          <w:sz w:val="20"/>
          <w:szCs w:val="20"/>
        </w:rPr>
        <w:t>весь срок, которые возникают вследствие всех возможных случаев дефолта на протяжении ожидаемого срока действия финансового инструмента.</w:t>
      </w:r>
    </w:p>
    <w:p w:rsidR="00FD06F3" w:rsidRDefault="00FD06F3"/>
    <w:p w:rsidR="00FD06F3" w:rsidRDefault="0054425B">
      <w:r>
        <w:t xml:space="preserve">Группа приняла решение об оценке резерва при помощи упрощенного подхода к формированию резерва под ожидаемые кредитные </w:t>
      </w:r>
      <w:r>
        <w:t xml:space="preserve">убытки согласно МСФО (IFRS) 9, который разрешает использование резерва на основе ожидаемых кредитных убытков за весь срок по всем суммам торговой и прочей дебиторской задолженности. </w:t>
      </w:r>
    </w:p>
    <w:p w:rsidR="00FD06F3" w:rsidRDefault="00FD06F3"/>
    <w:p w:rsidR="00FD06F3" w:rsidRDefault="0054425B">
      <w:r>
        <w:t>Согласно внутренним кредитным рейтингам банков и финансовых организаций,</w:t>
      </w:r>
      <w:r>
        <w:t xml:space="preserve"> имеющиеся у Группы денежные средства и их эквиваленты имеют низкий кредитный риск. На основании оценки, проведенной до настоящей даты, Группа ожидает незначительное изменение резерва под убытки в отношении торговой дебиторской задолженности и прочих финан</w:t>
      </w:r>
      <w:r>
        <w:t>совых активов, оцениваемых по амортизированной стоимости.</w:t>
      </w:r>
    </w:p>
    <w:p w:rsidR="00FD06F3" w:rsidRDefault="00FD06F3"/>
    <w:p w:rsidR="00FD06F3" w:rsidRDefault="0054425B">
      <w:pPr>
        <w:jc w:val="left"/>
        <w:rPr>
          <w:i/>
        </w:rPr>
      </w:pPr>
      <w:r>
        <w:rPr>
          <w:i/>
        </w:rPr>
        <w:br w:type="page"/>
      </w:r>
    </w:p>
    <w:p w:rsidR="00FD06F3" w:rsidRDefault="0054425B">
      <w:pPr>
        <w:pStyle w:val="13"/>
      </w:pPr>
      <w:r>
        <w:lastRenderedPageBreak/>
        <w:t>2.</w:t>
      </w:r>
      <w:r>
        <w:tab/>
        <w:t>ОСНОВНЫЕ ПОЛОЖЕНИЯ УЧЕТНОЙ ПОЛИТИКИ (</w:t>
      </w:r>
      <w:r>
        <w:rPr>
          <w:caps w:val="0"/>
        </w:rPr>
        <w:t>продолжение</w:t>
      </w:r>
      <w:r>
        <w:t>)</w:t>
      </w:r>
    </w:p>
    <w:p w:rsidR="00FD06F3" w:rsidRDefault="00FD06F3">
      <w:pPr>
        <w:widowControl w:val="0"/>
        <w:rPr>
          <w:b/>
        </w:rPr>
      </w:pPr>
    </w:p>
    <w:p w:rsidR="00FD06F3" w:rsidRDefault="0054425B">
      <w:pPr>
        <w:widowControl w:val="0"/>
        <w:ind w:left="567" w:hanging="567"/>
        <w:rPr>
          <w:b/>
        </w:rPr>
      </w:pPr>
      <w:r>
        <w:rPr>
          <w:b/>
        </w:rPr>
        <w:t>2.3</w:t>
      </w:r>
      <w:r>
        <w:rPr>
          <w:b/>
        </w:rPr>
        <w:tab/>
        <w:t>Изменения в учетной политике и раскрытие информации (продолжение)</w:t>
      </w:r>
    </w:p>
    <w:p w:rsidR="00FD06F3" w:rsidRDefault="00FD06F3">
      <w:pPr>
        <w:widowControl w:val="0"/>
      </w:pPr>
    </w:p>
    <w:p w:rsidR="00FD06F3" w:rsidRDefault="0054425B">
      <w:pPr>
        <w:widowControl w:val="0"/>
        <w:rPr>
          <w:b/>
          <w:bCs/>
        </w:rPr>
      </w:pPr>
      <w:r>
        <w:rPr>
          <w:b/>
          <w:bCs/>
        </w:rPr>
        <w:t>Стандарты, которые были выпущены, но еще не вступили в силу (продолжен</w:t>
      </w:r>
      <w:r>
        <w:rPr>
          <w:b/>
          <w:bCs/>
        </w:rPr>
        <w:t xml:space="preserve">ие) </w:t>
      </w:r>
    </w:p>
    <w:p w:rsidR="00FD06F3" w:rsidRDefault="00FD06F3">
      <w:pPr>
        <w:widowControl w:val="0"/>
      </w:pPr>
    </w:p>
    <w:p w:rsidR="00FD06F3" w:rsidRDefault="0054425B">
      <w:pPr>
        <w:widowControl w:val="0"/>
        <w:ind w:left="567" w:hanging="567"/>
      </w:pPr>
      <w:r>
        <w:rPr>
          <w:i/>
        </w:rPr>
        <w:t xml:space="preserve">(в) </w:t>
      </w:r>
      <w:r>
        <w:rPr>
          <w:i/>
        </w:rPr>
        <w:tab/>
        <w:t>Учет хеджирования</w:t>
      </w:r>
    </w:p>
    <w:p w:rsidR="00FD06F3" w:rsidRDefault="00FD06F3"/>
    <w:p w:rsidR="00FD06F3" w:rsidRDefault="0054425B">
      <w:r>
        <w:t>У Группы отсутствуют отношения хеджирования, которые в настоящее время оцениваются как отношения эффективного хеджирования, и, следовательно, применение требований МСФО (IFRS) 9 не окажет существенного влияния на финансовую от</w:t>
      </w:r>
      <w:r>
        <w:t>четность Группы.</w:t>
      </w:r>
    </w:p>
    <w:p w:rsidR="00FD06F3" w:rsidRDefault="00FD06F3"/>
    <w:p w:rsidR="00FD06F3" w:rsidRDefault="0054425B">
      <w:pPr>
        <w:widowControl w:val="0"/>
      </w:pPr>
      <w:r>
        <w:rPr>
          <w:i/>
          <w:iCs/>
        </w:rPr>
        <w:t xml:space="preserve">МСФО (IFRS) 15 «Выручка по договорам с покупателями» </w:t>
      </w:r>
    </w:p>
    <w:p w:rsidR="00FD06F3" w:rsidRDefault="00FD06F3">
      <w:pPr>
        <w:widowControl w:val="0"/>
      </w:pPr>
    </w:p>
    <w:p w:rsidR="00FD06F3" w:rsidRDefault="0054425B">
      <w:r>
        <w:t xml:space="preserve">В мае 2014 года Совет по МСФО выпустил МСФО (IFRS) 15 </w:t>
      </w:r>
      <w:r>
        <w:rPr>
          <w:i/>
          <w:iCs/>
        </w:rPr>
        <w:t>«Выручка по договорам с покупателями</w:t>
      </w:r>
      <w:r>
        <w:rPr>
          <w:i/>
        </w:rPr>
        <w:t>»</w:t>
      </w:r>
      <w:r>
        <w:t xml:space="preserve">, единое руководство по признанию выручки, заменяющее следующие ранее изданные стандарты по </w:t>
      </w:r>
      <w:r>
        <w:t xml:space="preserve">признанию выручки: МСФО (IAS) 18 </w:t>
      </w:r>
      <w:r>
        <w:rPr>
          <w:i/>
        </w:rPr>
        <w:t>«</w:t>
      </w:r>
      <w:r>
        <w:rPr>
          <w:i/>
          <w:iCs/>
        </w:rPr>
        <w:t>Выручка</w:t>
      </w:r>
      <w:r>
        <w:rPr>
          <w:i/>
        </w:rPr>
        <w:t>»</w:t>
      </w:r>
      <w:r>
        <w:t xml:space="preserve">, МСФО (IAS) 11 </w:t>
      </w:r>
      <w:r>
        <w:rPr>
          <w:i/>
        </w:rPr>
        <w:t>«</w:t>
      </w:r>
      <w:r>
        <w:rPr>
          <w:i/>
          <w:iCs/>
        </w:rPr>
        <w:t>Договоры на строительство</w:t>
      </w:r>
      <w:r>
        <w:rPr>
          <w:i/>
        </w:rPr>
        <w:t>»</w:t>
      </w:r>
      <w:r>
        <w:t xml:space="preserve">, Разъяснение КРМФО (IFRIC) 13 </w:t>
      </w:r>
      <w:r>
        <w:rPr>
          <w:i/>
        </w:rPr>
        <w:t>«</w:t>
      </w:r>
      <w:r>
        <w:rPr>
          <w:i/>
          <w:iCs/>
        </w:rPr>
        <w:t>Программы лояльности клиентов</w:t>
      </w:r>
      <w:r>
        <w:rPr>
          <w:i/>
        </w:rPr>
        <w:t>»</w:t>
      </w:r>
      <w:r>
        <w:t xml:space="preserve">, Разъяснение КРМФО (IFRIC) 15 </w:t>
      </w:r>
      <w:r>
        <w:rPr>
          <w:i/>
        </w:rPr>
        <w:t>«</w:t>
      </w:r>
      <w:r>
        <w:rPr>
          <w:i/>
          <w:iCs/>
        </w:rPr>
        <w:t>Соглашения на строительство объектов недвижимости</w:t>
      </w:r>
      <w:r>
        <w:rPr>
          <w:i/>
        </w:rPr>
        <w:t>»</w:t>
      </w:r>
      <w:r>
        <w:t>, Разъяснение КРМФО (IFRIC)</w:t>
      </w:r>
      <w:r>
        <w:t xml:space="preserve"> 18 </w:t>
      </w:r>
      <w:r>
        <w:rPr>
          <w:i/>
        </w:rPr>
        <w:t>«</w:t>
      </w:r>
      <w:r>
        <w:rPr>
          <w:i/>
          <w:iCs/>
        </w:rPr>
        <w:t>Передача активов от клиентов</w:t>
      </w:r>
      <w:r>
        <w:rPr>
          <w:i/>
        </w:rPr>
        <w:t>»</w:t>
      </w:r>
      <w:r>
        <w:t xml:space="preserve">, Разъяснение ПКР (SIC)-31 </w:t>
      </w:r>
      <w:r>
        <w:rPr>
          <w:i/>
        </w:rPr>
        <w:t>«</w:t>
      </w:r>
      <w:r>
        <w:rPr>
          <w:i/>
          <w:iCs/>
        </w:rPr>
        <w:t>Выручка – бартерные операции, включающие рекламные услуги</w:t>
      </w:r>
      <w:r>
        <w:rPr>
          <w:i/>
        </w:rPr>
        <w:t>»</w:t>
      </w:r>
      <w:r>
        <w:t>.</w:t>
      </w:r>
    </w:p>
    <w:p w:rsidR="00FD06F3" w:rsidRDefault="00FD06F3"/>
    <w:p w:rsidR="00FD06F3" w:rsidRDefault="0054425B">
      <w:r>
        <w:t>Основной принцип данного стандарта требует признания компанией выручки для отображения передачи обещанных товаров или услуг покупател</w:t>
      </w:r>
      <w:r>
        <w:t>ю в сумме, отражающей возмещение, право, на которое компания ожидает получить в обмен на такие товары или услуги. Для достижения этого основного принципа применяются следующие шаги:</w:t>
      </w:r>
    </w:p>
    <w:p w:rsidR="00FD06F3" w:rsidRDefault="0054425B">
      <w:pPr>
        <w:numPr>
          <w:ilvl w:val="0"/>
          <w:numId w:val="38"/>
        </w:numPr>
        <w:spacing w:before="120"/>
        <w:ind w:left="567" w:hanging="567"/>
      </w:pPr>
      <w:r>
        <w:t>Шаг 1: Идентифицировать договоры с покупателями.</w:t>
      </w:r>
    </w:p>
    <w:p w:rsidR="00FD06F3" w:rsidRDefault="0054425B">
      <w:pPr>
        <w:numPr>
          <w:ilvl w:val="0"/>
          <w:numId w:val="38"/>
        </w:numPr>
        <w:spacing w:before="120"/>
        <w:ind w:left="567" w:hanging="567"/>
      </w:pPr>
      <w:r>
        <w:t xml:space="preserve">Шаг 2: Идентифицировать обязанности к исполнению в договорах. </w:t>
      </w:r>
    </w:p>
    <w:p w:rsidR="00FD06F3" w:rsidRDefault="0054425B">
      <w:pPr>
        <w:numPr>
          <w:ilvl w:val="0"/>
          <w:numId w:val="38"/>
        </w:numPr>
        <w:spacing w:before="120"/>
        <w:ind w:left="567" w:hanging="567"/>
      </w:pPr>
      <w:r>
        <w:t xml:space="preserve">Шаг 3: Определить цену операции. </w:t>
      </w:r>
    </w:p>
    <w:p w:rsidR="00FD06F3" w:rsidRDefault="0054425B">
      <w:pPr>
        <w:numPr>
          <w:ilvl w:val="0"/>
          <w:numId w:val="38"/>
        </w:numPr>
        <w:spacing w:before="120"/>
        <w:ind w:left="567" w:hanging="567"/>
      </w:pPr>
      <w:r>
        <w:t xml:space="preserve">Шаг 4: Распределить цену операции между обязанностями к исполнению. </w:t>
      </w:r>
    </w:p>
    <w:p w:rsidR="00FD06F3" w:rsidRDefault="0054425B">
      <w:pPr>
        <w:numPr>
          <w:ilvl w:val="0"/>
          <w:numId w:val="38"/>
        </w:numPr>
        <w:spacing w:before="120"/>
        <w:ind w:left="567" w:hanging="567"/>
      </w:pPr>
      <w:r>
        <w:t xml:space="preserve">Шаг 5: Признать выручку по мере исполнения компанией своих обязательств. </w:t>
      </w:r>
    </w:p>
    <w:p w:rsidR="00FD06F3" w:rsidRDefault="00FD06F3">
      <w:pPr>
        <w:spacing w:before="120"/>
      </w:pPr>
    </w:p>
    <w:p w:rsidR="00FD06F3" w:rsidRDefault="0054425B">
      <w:r>
        <w:t xml:space="preserve">Новый стандарт </w:t>
      </w:r>
      <w:r>
        <w:t>применяется в отношении годовых отчетных периодов, начинающихся 1 января 2018 г. Досрочное применение разрешено. Стандарт применяется одним из следующих двух методов:</w:t>
      </w:r>
    </w:p>
    <w:p w:rsidR="00FD06F3" w:rsidRDefault="0054425B">
      <w:pPr>
        <w:numPr>
          <w:ilvl w:val="0"/>
          <w:numId w:val="39"/>
        </w:numPr>
        <w:spacing w:before="120"/>
        <w:ind w:left="567" w:hanging="567"/>
      </w:pPr>
      <w:r>
        <w:t>Ретроспективно в отношении каждого предыдущего отчетного периода, представленного в отчет</w:t>
      </w:r>
      <w:r>
        <w:t>ности. При этом компания, по своему усмотрению, может воспользоваться любым из перечисленных ниже упрощений практического характера:</w:t>
      </w:r>
    </w:p>
    <w:p w:rsidR="00FD06F3" w:rsidRDefault="0054425B">
      <w:pPr>
        <w:numPr>
          <w:ilvl w:val="0"/>
          <w:numId w:val="40"/>
        </w:numPr>
        <w:spacing w:before="60"/>
        <w:ind w:left="1134" w:hanging="567"/>
      </w:pPr>
      <w:r>
        <w:t xml:space="preserve">в случае выполненных договоров компания не должна пересчитывать договоры, срок действия которых начинается и заканчивается </w:t>
      </w:r>
      <w:r>
        <w:t>в рамках одного годового отчетного периода;</w:t>
      </w:r>
    </w:p>
    <w:p w:rsidR="00FD06F3" w:rsidRDefault="0054425B">
      <w:pPr>
        <w:numPr>
          <w:ilvl w:val="0"/>
          <w:numId w:val="40"/>
        </w:numPr>
        <w:spacing w:before="60"/>
        <w:ind w:left="1134" w:hanging="567"/>
      </w:pPr>
      <w:r>
        <w:t>в случае выполненных договоров с переменным возмещением компания вправе использовать цену операции на дату, на которую договор был выполнен, вместо оценки величин переменного возмещения в сравнительных отчетных п</w:t>
      </w:r>
      <w:r>
        <w:t>ериодах;</w:t>
      </w:r>
    </w:p>
    <w:p w:rsidR="00FD06F3" w:rsidRDefault="0054425B">
      <w:pPr>
        <w:numPr>
          <w:ilvl w:val="0"/>
          <w:numId w:val="40"/>
        </w:numPr>
        <w:spacing w:before="60"/>
        <w:ind w:left="1134" w:hanging="567"/>
      </w:pPr>
      <w:r>
        <w:t>для всех отчетных периодов, представленных до даты первоначального применения стандарта, компания не должна раскрывать сумму цены операции, распределенную на оставшиеся обязанности к исполнению, а также объяснение того, когда компания ожидает приз</w:t>
      </w:r>
      <w:r>
        <w:t>нать такие суммы в качестве выручки.</w:t>
      </w:r>
    </w:p>
    <w:p w:rsidR="00FD06F3" w:rsidRDefault="0054425B">
      <w:pPr>
        <w:numPr>
          <w:ilvl w:val="0"/>
          <w:numId w:val="39"/>
        </w:numPr>
        <w:spacing w:before="120"/>
        <w:ind w:left="567" w:hanging="567"/>
      </w:pPr>
      <w:r>
        <w:t>Ретроспективно с отражением суммарного влияния на дату первоначального применения стандарта. В случае применения этого метода перехода компания также должна представить дополнительные раскрытия в отчетных периодах, вклю</w:t>
      </w:r>
      <w:r>
        <w:t>чающих дату первого применения:</w:t>
      </w:r>
    </w:p>
    <w:p w:rsidR="00FD06F3" w:rsidRDefault="0054425B">
      <w:pPr>
        <w:numPr>
          <w:ilvl w:val="0"/>
          <w:numId w:val="40"/>
        </w:numPr>
        <w:spacing w:before="60"/>
        <w:ind w:left="1134" w:hanging="567"/>
      </w:pPr>
      <w:r>
        <w:t xml:space="preserve">сумму, на которую изменилась каждая строка отчетности в текущем отчетном периоде в результате применения МСФО (IFRS) 15 по сравнению с учетом по ранее действовавшим стандартам; </w:t>
      </w:r>
    </w:p>
    <w:p w:rsidR="00FD06F3" w:rsidRDefault="0054425B">
      <w:pPr>
        <w:numPr>
          <w:ilvl w:val="0"/>
          <w:numId w:val="40"/>
        </w:numPr>
        <w:spacing w:before="60"/>
        <w:ind w:left="1134" w:hanging="567"/>
      </w:pPr>
      <w:r>
        <w:t xml:space="preserve">разъяснение причин значительных изменений. </w:t>
      </w:r>
    </w:p>
    <w:p w:rsidR="00FD06F3" w:rsidRDefault="0054425B">
      <w:pPr>
        <w:jc w:val="left"/>
      </w:pPr>
      <w:r>
        <w:br w:type="page"/>
      </w:r>
    </w:p>
    <w:p w:rsidR="00FD06F3" w:rsidRDefault="0054425B">
      <w:pPr>
        <w:pStyle w:val="13"/>
      </w:pPr>
      <w:r>
        <w:lastRenderedPageBreak/>
        <w:t>2.</w:t>
      </w:r>
      <w:r>
        <w:tab/>
        <w:t>ОСНОВНЫЕ ПОЛОЖЕНИЯ УЧЕТНОЙ ПОЛИТИКИ (</w:t>
      </w:r>
      <w:r>
        <w:rPr>
          <w:caps w:val="0"/>
        </w:rPr>
        <w:t>продолжение</w:t>
      </w:r>
      <w:r>
        <w:t>)</w:t>
      </w:r>
    </w:p>
    <w:p w:rsidR="00FD06F3" w:rsidRDefault="00FD06F3">
      <w:pPr>
        <w:widowControl w:val="0"/>
        <w:rPr>
          <w:b/>
        </w:rPr>
      </w:pPr>
    </w:p>
    <w:p w:rsidR="00FD06F3" w:rsidRDefault="0054425B">
      <w:pPr>
        <w:widowControl w:val="0"/>
        <w:ind w:left="567" w:hanging="567"/>
        <w:rPr>
          <w:b/>
        </w:rPr>
      </w:pPr>
      <w:r>
        <w:rPr>
          <w:b/>
        </w:rPr>
        <w:t>2.3</w:t>
      </w:r>
      <w:r>
        <w:rPr>
          <w:b/>
        </w:rPr>
        <w:tab/>
        <w:t>Изменения в учетной политике и раскрытие информации (продолжение)</w:t>
      </w:r>
    </w:p>
    <w:p w:rsidR="00FD06F3" w:rsidRDefault="00FD06F3">
      <w:pPr>
        <w:widowControl w:val="0"/>
      </w:pPr>
    </w:p>
    <w:p w:rsidR="00FD06F3" w:rsidRDefault="0054425B">
      <w:pPr>
        <w:widowControl w:val="0"/>
        <w:rPr>
          <w:b/>
          <w:bCs/>
        </w:rPr>
      </w:pPr>
      <w:r>
        <w:rPr>
          <w:b/>
          <w:bCs/>
        </w:rPr>
        <w:t xml:space="preserve">Стандарты, которые были выпущены, но еще не вступили в силу (продолжение) </w:t>
      </w:r>
    </w:p>
    <w:p w:rsidR="00FD06F3" w:rsidRDefault="00FD06F3">
      <w:pPr>
        <w:widowControl w:val="0"/>
      </w:pPr>
    </w:p>
    <w:p w:rsidR="00FD06F3" w:rsidRDefault="0054425B">
      <w:r>
        <w:t xml:space="preserve">Группа ожидает, что признание выручки осуществляется в </w:t>
      </w:r>
      <w:r>
        <w:t>момент передачи контроля над активом покупателю, в основном при передаче товара оптовым покупателям. Прочие потоки выручки являются несущественными. Группа проанализировала потоки выручки с использованием пятиступенчатой модели, установленной МСФО (IFRS) 1</w:t>
      </w:r>
      <w:r>
        <w:t>5. Группа не ожидает, что применение требований МСФО (IFRS) 15 окажет существенное влияние на показатели баланса и капитала.</w:t>
      </w:r>
    </w:p>
    <w:p w:rsidR="00FD06F3" w:rsidRDefault="00FD06F3"/>
    <w:p w:rsidR="00FD06F3" w:rsidRDefault="0054425B">
      <w:pPr>
        <w:widowControl w:val="0"/>
        <w:rPr>
          <w:i/>
          <w:iCs/>
        </w:rPr>
      </w:pPr>
      <w:r>
        <w:rPr>
          <w:i/>
          <w:iCs/>
        </w:rPr>
        <w:t xml:space="preserve">МСФО (IFRS) 16 «Аренда» </w:t>
      </w:r>
    </w:p>
    <w:p w:rsidR="00FD06F3" w:rsidRDefault="00FD06F3">
      <w:pPr>
        <w:widowControl w:val="0"/>
      </w:pPr>
    </w:p>
    <w:p w:rsidR="00FD06F3" w:rsidRDefault="0054425B">
      <w:pPr>
        <w:widowControl w:val="0"/>
      </w:pPr>
      <w:r>
        <w:t xml:space="preserve">МСФО (IFRS) 16 был выпущен в январе 2016 года и заменяет собой МСФО (IAS) 17 </w:t>
      </w:r>
      <w:r>
        <w:rPr>
          <w:i/>
          <w:iCs/>
        </w:rPr>
        <w:t>«Аренда»</w:t>
      </w:r>
      <w:r>
        <w:t>, Разъяснение КРМФО</w:t>
      </w:r>
      <w:r>
        <w:t xml:space="preserve"> (IFRIC) 4 </w:t>
      </w:r>
      <w:r>
        <w:rPr>
          <w:i/>
        </w:rPr>
        <w:t>«Определение наличия в соглашении признаков договора аренды»</w:t>
      </w:r>
      <w:r>
        <w:t xml:space="preserve">, Разъяснение ПКР (SIC) 15 </w:t>
      </w:r>
      <w:r>
        <w:rPr>
          <w:i/>
          <w:iCs/>
        </w:rPr>
        <w:t xml:space="preserve">«Операционная аренда – стимулы» </w:t>
      </w:r>
      <w:r>
        <w:t xml:space="preserve">и Разъяснение ПКР (SIC) 27 </w:t>
      </w:r>
      <w:r>
        <w:rPr>
          <w:i/>
          <w:iCs/>
        </w:rPr>
        <w:t>«Анализ сущности сделок, имеющих юридическую форму аренды»</w:t>
      </w:r>
      <w:r>
        <w:t>. МСФО (IFRS) 16 устанавливает принципы п</w:t>
      </w:r>
      <w:r>
        <w:t>ризнания и оценки договоров аренды, а также представления и раскрытия соответствующей информации в финансовой отчетности. Стандарт содержит требования в отношении признания арендатором всех договоров аренды на балансе с использованием единой модели учета а</w:t>
      </w:r>
      <w:r>
        <w:t>ренды, аналогичной модели учета финансовой аренды в МСФО (IAS) 17. Стандарт содержит описание двух исключений для арендаторов в части признания договоров аренды: аренда «малоценных» активов (например, персональных компьютеров) и краткосрочная аренда (т.е.,</w:t>
      </w:r>
      <w:r>
        <w:t xml:space="preserve"> аренда, срок которой не превышает 12 месяцев). На дату начала аренды арендатор должен будет признать обязательство по осуществлению арендных платежей (т.е., обязательство по аренде) и актив, представляющий собой право пользования базовым активом в течение</w:t>
      </w:r>
      <w:r>
        <w:t xml:space="preserve"> срока аренды (т.е., актив в форме права пользования). Арендаторы должны будут вести раздельный учет процентных расходов по обязательству по аренде и расходов на амортизацию актива в форме права пользования. </w:t>
      </w:r>
    </w:p>
    <w:p w:rsidR="00FD06F3" w:rsidRDefault="00FD06F3">
      <w:pPr>
        <w:widowControl w:val="0"/>
      </w:pPr>
    </w:p>
    <w:p w:rsidR="00FD06F3" w:rsidRDefault="0054425B">
      <w:pPr>
        <w:widowControl w:val="0"/>
      </w:pPr>
      <w:r>
        <w:t xml:space="preserve">Кроме того, арендаторы должны будут выполнять </w:t>
      </w:r>
      <w:r>
        <w:t>переоценку обязательства по аренде при наступлении определенных событий (например, изменение срока аренды, изменение размера будущих арендных платежей в результате изменения индекса или ставки, используемых для расчета таких платежей). Арендаторы также дол</w:t>
      </w:r>
      <w:r>
        <w:t xml:space="preserve">жны будут признавать сумму переоценки обязательства по аренде в качестве корректировки стоимости актива в форме права пользования. </w:t>
      </w:r>
    </w:p>
    <w:p w:rsidR="00FD06F3" w:rsidRDefault="00FD06F3">
      <w:pPr>
        <w:widowControl w:val="0"/>
      </w:pPr>
    </w:p>
    <w:p w:rsidR="00FD06F3" w:rsidRDefault="0054425B">
      <w:pPr>
        <w:widowControl w:val="0"/>
      </w:pPr>
      <w:r>
        <w:t>МСФО (IFRS) 16 практически не изменяет требования к осуществлению бухгалтерского учета арендодателем, содержащиеся в МСФО (</w:t>
      </w:r>
      <w:r>
        <w:t>IAS) 17. Арендодатели продолжат классифицировать все договоры аренды с использованием принципа классификации, представленного в МСФО (IAS) 17, с выделением двух видов аренды: операционной и финансовой. Помимо этого, МСФО (IFRS) 16 содержит требования в отн</w:t>
      </w:r>
      <w:r>
        <w:t xml:space="preserve">ошении более полного раскрытия информации как арендаторами, так и арендодателями. МСФО (IFRS) 16 вступает в силу для годовых отчетных периодов, начинающихся 1 января 2019 г. или после этой даты. Арендатор сможет применять данный стандарт, используя полный </w:t>
      </w:r>
      <w:r>
        <w:t xml:space="preserve">ретроспективный метод либо модифицированный ретроспективный метод. Переходные положения стандарта предусматривают определенные исключения. </w:t>
      </w:r>
    </w:p>
    <w:p w:rsidR="00FD06F3" w:rsidRDefault="00FD06F3">
      <w:pPr>
        <w:widowControl w:val="0"/>
      </w:pPr>
    </w:p>
    <w:p w:rsidR="00FD06F3" w:rsidRDefault="0054425B">
      <w:pPr>
        <w:widowControl w:val="0"/>
      </w:pPr>
      <w:r>
        <w:t>В 2018 году Группа продолжит оценку потенциального влияния МСФО (IFRS) 16 на консолидированную финансовую отчетност</w:t>
      </w:r>
      <w:r>
        <w:t>ь.</w:t>
      </w:r>
    </w:p>
    <w:p w:rsidR="00FD06F3" w:rsidRDefault="00FD06F3">
      <w:pPr>
        <w:widowControl w:val="0"/>
      </w:pPr>
    </w:p>
    <w:p w:rsidR="00FD06F3" w:rsidRDefault="0054425B">
      <w:pPr>
        <w:pStyle w:val="Default"/>
        <w:jc w:val="both"/>
        <w:rPr>
          <w:rFonts w:ascii="Times New Roman" w:hAnsi="Times New Roman" w:cs="Times New Roman"/>
          <w:i/>
          <w:iCs/>
          <w:color w:val="auto"/>
          <w:sz w:val="20"/>
          <w:szCs w:val="20"/>
        </w:rPr>
      </w:pPr>
      <w:r>
        <w:rPr>
          <w:rFonts w:ascii="Times New Roman" w:hAnsi="Times New Roman" w:cs="Times New Roman"/>
          <w:i/>
          <w:iCs/>
          <w:color w:val="auto"/>
          <w:sz w:val="20"/>
          <w:szCs w:val="20"/>
        </w:rPr>
        <w:t xml:space="preserve">Поправки к МСФО (IFRS) 10 и МСФО (IAS) 28 «Продажа или взнос активов в сделках между инвестором и его ассоциированной компании или совместным предприятием» </w:t>
      </w:r>
    </w:p>
    <w:p w:rsidR="00FD06F3" w:rsidRDefault="00FD06F3">
      <w:pPr>
        <w:pStyle w:val="Default"/>
        <w:jc w:val="both"/>
        <w:rPr>
          <w:rFonts w:ascii="Times New Roman" w:hAnsi="Times New Roman" w:cs="Times New Roman"/>
          <w:i/>
          <w:iCs/>
          <w:color w:val="auto"/>
          <w:sz w:val="20"/>
          <w:szCs w:val="20"/>
        </w:rPr>
      </w:pPr>
    </w:p>
    <w:p w:rsidR="00FD06F3" w:rsidRDefault="0054425B">
      <w:pPr>
        <w:widowControl w:val="0"/>
      </w:pPr>
      <w:r>
        <w:t>Поправки рассматривают противоречие между МСФО (IFRS) 10 и МСФО (IAS) 28, в части учета потери</w:t>
      </w:r>
      <w:r>
        <w:t xml:space="preserve"> контроля над дочерней компанией, которая продается ассоциированной компании или совместному предприятию или вносится в них. Поправки разъясняют, что прибыль или убыток, которые возникают в результате продажи или взноса активов, представляющих собой бизнес</w:t>
      </w:r>
      <w:r>
        <w:t xml:space="preserve"> согласно определению в МСФО (IFRS) 3, в сделке между инвестором и его ассоциированной компанией или совместным предприятием, признаются в полном объеме. Однако прибыль или убыток, которые возникают в результате продажи или взноса активов, не представляющи</w:t>
      </w:r>
      <w:r>
        <w:t>х собой бизнес, признаются только в пределах долей участия, имеющихся у иных, чем компания, инвесторов в ассоциированной компании или совместном предприятии. Совет по МСФО перенес дату вступления данных поправок в силу на неопределенный срок, однако компан</w:t>
      </w:r>
      <w:r>
        <w:t xml:space="preserve">ия, применяющая данные поправки досрочно, должна применять их перспективно. Группа будет применять данные поправки, когда они вступят в силу. </w:t>
      </w:r>
    </w:p>
    <w:p w:rsidR="00FD06F3" w:rsidRDefault="0054425B">
      <w:pPr>
        <w:pStyle w:val="13"/>
      </w:pPr>
      <w:r>
        <w:lastRenderedPageBreak/>
        <w:t>2.</w:t>
      </w:r>
      <w:r>
        <w:tab/>
        <w:t>ОСНОВНЫЕ ПОЛОЖЕНИЯ УЧЕТНОЙ ПОЛИТИКИ (</w:t>
      </w:r>
      <w:r>
        <w:rPr>
          <w:caps w:val="0"/>
        </w:rPr>
        <w:t>продолжение</w:t>
      </w:r>
      <w:r>
        <w:t>)</w:t>
      </w:r>
    </w:p>
    <w:p w:rsidR="00FD06F3" w:rsidRDefault="00FD06F3">
      <w:pPr>
        <w:widowControl w:val="0"/>
        <w:rPr>
          <w:b/>
        </w:rPr>
      </w:pPr>
    </w:p>
    <w:p w:rsidR="00FD06F3" w:rsidRDefault="0054425B">
      <w:pPr>
        <w:widowControl w:val="0"/>
        <w:ind w:left="567" w:hanging="567"/>
        <w:rPr>
          <w:b/>
        </w:rPr>
      </w:pPr>
      <w:r>
        <w:rPr>
          <w:b/>
        </w:rPr>
        <w:t>2.3</w:t>
      </w:r>
      <w:r>
        <w:rPr>
          <w:b/>
        </w:rPr>
        <w:tab/>
        <w:t>Изменения в учетной политике и раскрытие информации (пр</w:t>
      </w:r>
      <w:r>
        <w:rPr>
          <w:b/>
        </w:rPr>
        <w:t>одолжение)</w:t>
      </w:r>
    </w:p>
    <w:p w:rsidR="00FD06F3" w:rsidRDefault="00FD06F3">
      <w:pPr>
        <w:widowControl w:val="0"/>
        <w:rPr>
          <w:sz w:val="18"/>
          <w:szCs w:val="18"/>
        </w:rPr>
      </w:pPr>
    </w:p>
    <w:p w:rsidR="00FD06F3" w:rsidRDefault="0054425B">
      <w:pPr>
        <w:widowControl w:val="0"/>
        <w:rPr>
          <w:b/>
          <w:bCs/>
        </w:rPr>
      </w:pPr>
      <w:r>
        <w:rPr>
          <w:b/>
          <w:bCs/>
        </w:rPr>
        <w:t xml:space="preserve">Стандарты, которые были выпущены, но еще не вступили в силу (продолжение) </w:t>
      </w:r>
    </w:p>
    <w:p w:rsidR="00FD06F3" w:rsidRDefault="00FD06F3">
      <w:pPr>
        <w:pStyle w:val="Default"/>
        <w:jc w:val="both"/>
        <w:rPr>
          <w:rFonts w:ascii="Times New Roman" w:hAnsi="Times New Roman" w:cs="Times New Roman"/>
          <w:i/>
          <w:iCs/>
          <w:color w:val="auto"/>
          <w:sz w:val="18"/>
          <w:szCs w:val="18"/>
        </w:rPr>
      </w:pPr>
    </w:p>
    <w:p w:rsidR="00FD06F3" w:rsidRDefault="0054425B">
      <w:pPr>
        <w:pStyle w:val="Default"/>
        <w:jc w:val="both"/>
        <w:rPr>
          <w:rFonts w:ascii="Times New Roman" w:hAnsi="Times New Roman" w:cs="Times New Roman"/>
          <w:i/>
          <w:iCs/>
          <w:color w:val="auto"/>
          <w:sz w:val="20"/>
          <w:szCs w:val="20"/>
        </w:rPr>
      </w:pPr>
      <w:r>
        <w:rPr>
          <w:rFonts w:ascii="Times New Roman" w:hAnsi="Times New Roman" w:cs="Times New Roman"/>
          <w:i/>
          <w:iCs/>
          <w:color w:val="auto"/>
          <w:sz w:val="20"/>
          <w:szCs w:val="20"/>
        </w:rPr>
        <w:t xml:space="preserve">Поправки к МСФО (IFRS) 2 «Классификация и оценка операций по выплатам на основе акций» </w:t>
      </w:r>
    </w:p>
    <w:p w:rsidR="00FD06F3" w:rsidRDefault="00FD06F3">
      <w:pPr>
        <w:pStyle w:val="Default"/>
        <w:jc w:val="both"/>
        <w:rPr>
          <w:rFonts w:ascii="Times New Roman" w:hAnsi="Times New Roman" w:cs="Times New Roman"/>
          <w:i/>
          <w:iCs/>
          <w:color w:val="auto"/>
          <w:sz w:val="18"/>
          <w:szCs w:val="18"/>
        </w:rPr>
      </w:pPr>
    </w:p>
    <w:p w:rsidR="00FD06F3" w:rsidRDefault="0054425B">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Совет по МСФО выпустил поправки к МСФО (IFRS) 2 </w:t>
      </w:r>
      <w:r>
        <w:rPr>
          <w:rFonts w:ascii="Times New Roman" w:hAnsi="Times New Roman" w:cs="Times New Roman"/>
          <w:i/>
          <w:color w:val="auto"/>
          <w:sz w:val="20"/>
          <w:szCs w:val="20"/>
        </w:rPr>
        <w:t>«Выплаты на основе акций»</w:t>
      </w:r>
      <w:r>
        <w:rPr>
          <w:rFonts w:ascii="Times New Roman" w:hAnsi="Times New Roman" w:cs="Times New Roman"/>
          <w:color w:val="auto"/>
          <w:sz w:val="20"/>
          <w:szCs w:val="20"/>
        </w:rPr>
        <w:t>, в которых рассматриваются три основных аспекта: влияние условий перехода прав на оценку операций по выплатам на основе акций с расчетами денежными средствами; классификация операций по выплатам на основе акций с условием расчетов на нетто-основе для обяз</w:t>
      </w:r>
      <w:r>
        <w:rPr>
          <w:rFonts w:ascii="Times New Roman" w:hAnsi="Times New Roman" w:cs="Times New Roman"/>
          <w:color w:val="auto"/>
          <w:sz w:val="20"/>
          <w:szCs w:val="20"/>
        </w:rPr>
        <w:t>ательств по налогу, удерживаемому у источника; учет изменения условий операции по выплатам на основе акций, в результате которого операция перестает классифицироваться как операция с расчетами денежными средствами и начинает классифицироваться как операция</w:t>
      </w:r>
      <w:r>
        <w:rPr>
          <w:rFonts w:ascii="Times New Roman" w:hAnsi="Times New Roman" w:cs="Times New Roman"/>
          <w:color w:val="auto"/>
          <w:sz w:val="20"/>
          <w:szCs w:val="20"/>
        </w:rPr>
        <w:t xml:space="preserve"> с расчетами долевыми инструментами.  </w:t>
      </w:r>
    </w:p>
    <w:p w:rsidR="00FD06F3" w:rsidRDefault="00FD06F3">
      <w:pPr>
        <w:pStyle w:val="Default"/>
        <w:jc w:val="both"/>
        <w:rPr>
          <w:rFonts w:ascii="Times New Roman" w:hAnsi="Times New Roman" w:cs="Times New Roman"/>
          <w:color w:val="auto"/>
          <w:sz w:val="18"/>
          <w:szCs w:val="18"/>
        </w:rPr>
      </w:pPr>
    </w:p>
    <w:p w:rsidR="00FD06F3" w:rsidRDefault="0054425B">
      <w:pPr>
        <w:widowControl w:val="0"/>
      </w:pPr>
      <w:r>
        <w:t>При принятии поправок компании не обязаны пересчитывать информацию за предыдущие периоды, однако допускается ретроспективное применение при условии применения поправок в отношении всех трех аспектов и соблюдения друг</w:t>
      </w:r>
      <w:r>
        <w:t xml:space="preserve">их критериев. Поправки вступают в силу для годовых периодов, начинающихся 1 января 2018 г. или после этой даты. </w:t>
      </w:r>
    </w:p>
    <w:p w:rsidR="00FD06F3" w:rsidRDefault="00FD06F3">
      <w:pPr>
        <w:widowControl w:val="0"/>
        <w:rPr>
          <w:sz w:val="18"/>
          <w:szCs w:val="18"/>
        </w:rPr>
      </w:pPr>
    </w:p>
    <w:p w:rsidR="00FD06F3" w:rsidRDefault="0054425B">
      <w:pPr>
        <w:pStyle w:val="Default"/>
        <w:jc w:val="both"/>
        <w:rPr>
          <w:rFonts w:ascii="Times New Roman" w:hAnsi="Times New Roman" w:cs="Times New Roman"/>
          <w:i/>
          <w:iCs/>
          <w:color w:val="auto"/>
          <w:sz w:val="20"/>
          <w:szCs w:val="20"/>
        </w:rPr>
      </w:pPr>
      <w:r>
        <w:rPr>
          <w:rFonts w:ascii="Times New Roman" w:hAnsi="Times New Roman" w:cs="Times New Roman"/>
          <w:i/>
          <w:iCs/>
          <w:color w:val="auto"/>
          <w:sz w:val="20"/>
          <w:szCs w:val="20"/>
        </w:rPr>
        <w:t xml:space="preserve">МСФО (IFRS) 17 «Договоры страхования» </w:t>
      </w:r>
    </w:p>
    <w:p w:rsidR="00FD06F3" w:rsidRDefault="00FD06F3">
      <w:pPr>
        <w:pStyle w:val="Default"/>
        <w:jc w:val="both"/>
        <w:rPr>
          <w:rFonts w:ascii="Times New Roman" w:hAnsi="Times New Roman" w:cs="Times New Roman"/>
          <w:i/>
          <w:iCs/>
          <w:color w:val="auto"/>
          <w:sz w:val="18"/>
          <w:szCs w:val="18"/>
        </w:rPr>
      </w:pPr>
    </w:p>
    <w:p w:rsidR="00FD06F3" w:rsidRDefault="0054425B">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В мае 2017 года Совет по МСФО выпустил МСФО (IFRS) 17 </w:t>
      </w:r>
      <w:r>
        <w:rPr>
          <w:rFonts w:ascii="Times New Roman" w:hAnsi="Times New Roman" w:cs="Times New Roman"/>
          <w:i/>
          <w:color w:val="auto"/>
          <w:sz w:val="20"/>
          <w:szCs w:val="20"/>
        </w:rPr>
        <w:t>«Договоры страхования»</w:t>
      </w:r>
      <w:r>
        <w:rPr>
          <w:rFonts w:ascii="Times New Roman" w:hAnsi="Times New Roman" w:cs="Times New Roman"/>
          <w:color w:val="auto"/>
          <w:sz w:val="20"/>
          <w:szCs w:val="20"/>
        </w:rPr>
        <w:t xml:space="preserve">, новый всеобъемлющий стандарт финансовой отчетности для договоров страхования, который рассматривает вопросы признания и оценки, представления и раскрытия информации. Когда МСФО (IFRS) 17 вступит в силу, он заменит собой МСФО (IFRS) 4 </w:t>
      </w:r>
      <w:r>
        <w:rPr>
          <w:rFonts w:ascii="Times New Roman" w:hAnsi="Times New Roman" w:cs="Times New Roman"/>
          <w:i/>
          <w:color w:val="auto"/>
          <w:sz w:val="20"/>
          <w:szCs w:val="20"/>
        </w:rPr>
        <w:t>«Договоры страховани</w:t>
      </w:r>
      <w:r>
        <w:rPr>
          <w:rFonts w:ascii="Times New Roman" w:hAnsi="Times New Roman" w:cs="Times New Roman"/>
          <w:i/>
          <w:color w:val="auto"/>
          <w:sz w:val="20"/>
          <w:szCs w:val="20"/>
        </w:rPr>
        <w:t>я»</w:t>
      </w:r>
      <w:r>
        <w:rPr>
          <w:rFonts w:ascii="Times New Roman" w:hAnsi="Times New Roman" w:cs="Times New Roman"/>
          <w:color w:val="auto"/>
          <w:sz w:val="20"/>
          <w:szCs w:val="20"/>
        </w:rPr>
        <w:t xml:space="preserve">, который был выпущен в 2005 году. МСФО (IFRS) 17 применяется ко всем видам договоров страхования (т. е. страхование жизни и страхование, отличное от страхования жизни, прямое страхование и перестрахование) независимо от вида компании, которая выпускает </w:t>
      </w:r>
      <w:r>
        <w:rPr>
          <w:rFonts w:ascii="Times New Roman" w:hAnsi="Times New Roman" w:cs="Times New Roman"/>
          <w:color w:val="auto"/>
          <w:sz w:val="20"/>
          <w:szCs w:val="20"/>
        </w:rPr>
        <w:t>их, а также к определенным гарантиям и финансовым инструментам с условиями дискреционного участия. Имеется несколько исключений из сферы применения. Основная цель МСФО (IFRS) 17 заключается в предоставлении модели учета договоров страхования, которая являе</w:t>
      </w:r>
      <w:r>
        <w:rPr>
          <w:rFonts w:ascii="Times New Roman" w:hAnsi="Times New Roman" w:cs="Times New Roman"/>
          <w:color w:val="auto"/>
          <w:sz w:val="20"/>
          <w:szCs w:val="20"/>
        </w:rPr>
        <w:t>тся более эффективной и последовательной для страховщиков. В отличие от требований МСФО (IFRS) 4, которые в основном базируются на предыдущих местных учетных политиках, МСФО (IFRS) 17 предоставляет всестороннюю модель учета договоров страхования, охватывая</w:t>
      </w:r>
      <w:r>
        <w:rPr>
          <w:rFonts w:ascii="Times New Roman" w:hAnsi="Times New Roman" w:cs="Times New Roman"/>
          <w:color w:val="auto"/>
          <w:sz w:val="20"/>
          <w:szCs w:val="20"/>
        </w:rPr>
        <w:t xml:space="preserve"> все уместные аспекты учета. В основе МСФО (IFRS) 17 лежит общая модель, дополненная следующим: </w:t>
      </w:r>
    </w:p>
    <w:p w:rsidR="00FD06F3" w:rsidRDefault="0054425B">
      <w:pPr>
        <w:pStyle w:val="Default"/>
        <w:numPr>
          <w:ilvl w:val="1"/>
          <w:numId w:val="47"/>
        </w:numPr>
        <w:spacing w:before="120"/>
        <w:ind w:left="567" w:hanging="567"/>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Определенные модификации для договоров страхования с прямым участием в инвестиционном доходе (метод переменного вознаграждения). </w:t>
      </w:r>
    </w:p>
    <w:p w:rsidR="00FD06F3" w:rsidRDefault="0054425B">
      <w:pPr>
        <w:pStyle w:val="Default"/>
        <w:numPr>
          <w:ilvl w:val="1"/>
          <w:numId w:val="47"/>
        </w:numPr>
        <w:spacing w:before="120"/>
        <w:ind w:left="567" w:hanging="567"/>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Упрощенный подход (подход на </w:t>
      </w:r>
      <w:r>
        <w:rPr>
          <w:rFonts w:ascii="Times New Roman" w:hAnsi="Times New Roman" w:cs="Times New Roman"/>
          <w:color w:val="auto"/>
          <w:sz w:val="20"/>
          <w:szCs w:val="20"/>
        </w:rPr>
        <w:t xml:space="preserve">основе распределения премии) в основном для краткосрочных договоров </w:t>
      </w:r>
    </w:p>
    <w:p w:rsidR="00FD06F3" w:rsidRDefault="00FD06F3">
      <w:pPr>
        <w:widowControl w:val="0"/>
        <w:rPr>
          <w:sz w:val="18"/>
          <w:szCs w:val="18"/>
        </w:rPr>
      </w:pPr>
    </w:p>
    <w:p w:rsidR="00FD06F3" w:rsidRDefault="0054425B">
      <w:pPr>
        <w:widowControl w:val="0"/>
      </w:pPr>
      <w:r>
        <w:t>МСФО (IFRS) 17 вступает в силу в отношении отчетных периодов, начинающихся 1 января 2021 г. или после этой даты, при этом требуется представить сравнительную информацию. Допускается доср</w:t>
      </w:r>
      <w:r>
        <w:t xml:space="preserve">очное применение при условии, что компания также применяет МСФО (IFRS) 9 и МСФО (IFRS) 15 на дату первого применения МСФО (IFRS) 17 или до нее. Данный стандарт не применим к Группе. </w:t>
      </w:r>
    </w:p>
    <w:p w:rsidR="00FD06F3" w:rsidRDefault="00FD06F3">
      <w:pPr>
        <w:widowControl w:val="0"/>
        <w:rPr>
          <w:sz w:val="18"/>
          <w:szCs w:val="18"/>
        </w:rPr>
      </w:pPr>
    </w:p>
    <w:p w:rsidR="00FD06F3" w:rsidRDefault="0054425B">
      <w:pPr>
        <w:pStyle w:val="Default"/>
        <w:jc w:val="both"/>
        <w:rPr>
          <w:rFonts w:ascii="Times New Roman" w:hAnsi="Times New Roman" w:cs="Times New Roman"/>
          <w:i/>
          <w:iCs/>
          <w:color w:val="auto"/>
          <w:sz w:val="20"/>
          <w:szCs w:val="20"/>
        </w:rPr>
      </w:pPr>
      <w:r>
        <w:rPr>
          <w:rFonts w:ascii="Times New Roman" w:hAnsi="Times New Roman" w:cs="Times New Roman"/>
          <w:i/>
          <w:iCs/>
          <w:color w:val="auto"/>
          <w:sz w:val="20"/>
          <w:szCs w:val="20"/>
        </w:rPr>
        <w:t>Поправки к МСФО (IAS) 40 «Переводы инвестиционной недвижимости из катего</w:t>
      </w:r>
      <w:r>
        <w:rPr>
          <w:rFonts w:ascii="Times New Roman" w:hAnsi="Times New Roman" w:cs="Times New Roman"/>
          <w:i/>
          <w:iCs/>
          <w:color w:val="auto"/>
          <w:sz w:val="20"/>
          <w:szCs w:val="20"/>
        </w:rPr>
        <w:t xml:space="preserve">рии в категорию» </w:t>
      </w:r>
    </w:p>
    <w:p w:rsidR="00FD06F3" w:rsidRDefault="00FD06F3">
      <w:pPr>
        <w:pStyle w:val="Default"/>
        <w:jc w:val="both"/>
        <w:rPr>
          <w:rFonts w:ascii="Times New Roman" w:hAnsi="Times New Roman" w:cs="Times New Roman"/>
          <w:i/>
          <w:iCs/>
          <w:color w:val="auto"/>
          <w:sz w:val="18"/>
          <w:szCs w:val="18"/>
        </w:rPr>
      </w:pPr>
    </w:p>
    <w:p w:rsidR="00FD06F3" w:rsidRDefault="0054425B">
      <w:pPr>
        <w:widowControl w:val="0"/>
      </w:pPr>
      <w:r>
        <w:t>Поправки разъясняют, когда компания должна переводить объекты недвижимости, включая недвижимость, находящуюся в процессе строительства или развития, в категорию или из категории инвестиционной недвижимости. В поправках указано, что измен</w:t>
      </w:r>
      <w:r>
        <w:t xml:space="preserve">ение характера использования происходит, когда объект недвижимости начинает или перестает соответствовать определению инвестиционной недвижимости и существуют свидетельства изменения характера его использования. Изменение намерений руководства в отношении </w:t>
      </w:r>
      <w:r>
        <w:t>использования объекта недвижимости само по себе не свидетельствует об изменении характера его использования. Компании должны применять данные поправки перспективно в отношении изменений характера использования, которые происходят на дату начала годового от</w:t>
      </w:r>
      <w:r>
        <w:t>четного периода, в котором компания впервые применяет поправки, или после этой даты. Компания должна повторно проанализировать классификацию недвижимости, удерживаемой на эту дату, и, если применимо, произвести перевод недвижимости для отражения условий, к</w:t>
      </w:r>
      <w:r>
        <w:t>оторые существуют на эту дату. Допускается ретроспективное применение в соответствии с МСФО (IAS) 8, но только если это возможно без использования более поздней информации. Поправки вступают в силу в отношении годовых периодов, начинающихся 1 января 2018 г</w:t>
      </w:r>
      <w:r>
        <w:t xml:space="preserve">. или после этой даты. Группа не ожидает, что они окажут влияние на ее консолидированную финансовую отчетность. </w:t>
      </w:r>
    </w:p>
    <w:p w:rsidR="00FD06F3" w:rsidRDefault="0054425B">
      <w:pPr>
        <w:pStyle w:val="13"/>
      </w:pPr>
      <w:r>
        <w:lastRenderedPageBreak/>
        <w:t>2.</w:t>
      </w:r>
      <w:r>
        <w:tab/>
        <w:t>ОСНОВНЫЕ ПОЛОЖЕНИЯ УЧЕТНОЙ ПОЛИТИКИ (</w:t>
      </w:r>
      <w:r>
        <w:rPr>
          <w:caps w:val="0"/>
        </w:rPr>
        <w:t>продолжение</w:t>
      </w:r>
      <w:r>
        <w:t>)</w:t>
      </w:r>
    </w:p>
    <w:p w:rsidR="00FD06F3" w:rsidRDefault="00FD06F3">
      <w:pPr>
        <w:widowControl w:val="0"/>
        <w:rPr>
          <w:b/>
        </w:rPr>
      </w:pPr>
    </w:p>
    <w:p w:rsidR="00FD06F3" w:rsidRDefault="0054425B">
      <w:pPr>
        <w:widowControl w:val="0"/>
        <w:ind w:left="567" w:hanging="567"/>
        <w:rPr>
          <w:b/>
        </w:rPr>
      </w:pPr>
      <w:r>
        <w:rPr>
          <w:b/>
        </w:rPr>
        <w:t>2.3</w:t>
      </w:r>
      <w:r>
        <w:rPr>
          <w:b/>
        </w:rPr>
        <w:tab/>
        <w:t>Изменения в учетной политике и раскрытие информации (продолжение)</w:t>
      </w:r>
    </w:p>
    <w:p w:rsidR="00FD06F3" w:rsidRDefault="00FD06F3">
      <w:pPr>
        <w:widowControl w:val="0"/>
      </w:pPr>
    </w:p>
    <w:p w:rsidR="00FD06F3" w:rsidRDefault="0054425B">
      <w:pPr>
        <w:widowControl w:val="0"/>
        <w:rPr>
          <w:b/>
          <w:bCs/>
        </w:rPr>
      </w:pPr>
      <w:r>
        <w:rPr>
          <w:b/>
          <w:bCs/>
        </w:rPr>
        <w:t>Стандарты, которые</w:t>
      </w:r>
      <w:r>
        <w:rPr>
          <w:b/>
          <w:bCs/>
        </w:rPr>
        <w:t xml:space="preserve"> были выпущены, но еще не вступили в силу (продолжение) </w:t>
      </w:r>
    </w:p>
    <w:p w:rsidR="00FD06F3" w:rsidRDefault="00FD06F3">
      <w:pPr>
        <w:widowControl w:val="0"/>
      </w:pPr>
    </w:p>
    <w:p w:rsidR="00FD06F3" w:rsidRDefault="0054425B">
      <w:pPr>
        <w:pStyle w:val="Default"/>
        <w:jc w:val="both"/>
        <w:rPr>
          <w:rFonts w:ascii="Times New Roman" w:hAnsi="Times New Roman" w:cs="Times New Roman"/>
          <w:i/>
          <w:color w:val="auto"/>
          <w:sz w:val="20"/>
          <w:szCs w:val="20"/>
        </w:rPr>
      </w:pPr>
      <w:r>
        <w:rPr>
          <w:rFonts w:ascii="Times New Roman" w:hAnsi="Times New Roman" w:cs="Times New Roman"/>
          <w:i/>
          <w:color w:val="auto"/>
          <w:sz w:val="20"/>
          <w:szCs w:val="20"/>
        </w:rPr>
        <w:t xml:space="preserve">Ежегодные усовершенствования МСФО, период 2014-2016 гг. (выпущены в декабре 2016 года) </w:t>
      </w:r>
    </w:p>
    <w:p w:rsidR="00FD06F3" w:rsidRDefault="00FD06F3">
      <w:pPr>
        <w:pStyle w:val="Default"/>
        <w:jc w:val="both"/>
        <w:rPr>
          <w:rFonts w:ascii="Times New Roman" w:hAnsi="Times New Roman" w:cs="Times New Roman"/>
          <w:color w:val="auto"/>
          <w:sz w:val="20"/>
          <w:szCs w:val="20"/>
        </w:rPr>
      </w:pPr>
    </w:p>
    <w:p w:rsidR="00FD06F3" w:rsidRDefault="0054425B">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Данные усовершенствования включают следующие: МСФО (IAS) 28 </w:t>
      </w:r>
      <w:r>
        <w:rPr>
          <w:rFonts w:ascii="Times New Roman" w:hAnsi="Times New Roman" w:cs="Times New Roman"/>
          <w:i/>
          <w:color w:val="auto"/>
          <w:sz w:val="20"/>
          <w:szCs w:val="20"/>
        </w:rPr>
        <w:t xml:space="preserve">«Инвестиции в ассоциированные компании и </w:t>
      </w:r>
      <w:r>
        <w:rPr>
          <w:rFonts w:ascii="Times New Roman" w:hAnsi="Times New Roman" w:cs="Times New Roman"/>
          <w:i/>
          <w:color w:val="auto"/>
          <w:sz w:val="20"/>
          <w:szCs w:val="20"/>
        </w:rPr>
        <w:t>совместные предприятия»</w:t>
      </w:r>
      <w:r>
        <w:rPr>
          <w:rFonts w:ascii="Times New Roman" w:hAnsi="Times New Roman" w:cs="Times New Roman"/>
          <w:color w:val="auto"/>
          <w:sz w:val="20"/>
          <w:szCs w:val="20"/>
        </w:rPr>
        <w:t xml:space="preserve"> – Разъяснение того, что решение оценивать объекты инвестиции по справедливой стоимости через прибыль или убыток должно приниматься отдельно для каждой инвестиции. Поправки разъясняют следующее: </w:t>
      </w:r>
    </w:p>
    <w:p w:rsidR="00FD06F3" w:rsidRDefault="0054425B">
      <w:pPr>
        <w:pStyle w:val="Default"/>
        <w:numPr>
          <w:ilvl w:val="0"/>
          <w:numId w:val="42"/>
        </w:numPr>
        <w:spacing w:before="120"/>
        <w:ind w:left="567" w:hanging="567"/>
        <w:jc w:val="both"/>
        <w:rPr>
          <w:rFonts w:ascii="Times New Roman" w:hAnsi="Times New Roman" w:cs="Times New Roman"/>
          <w:color w:val="auto"/>
          <w:sz w:val="20"/>
          <w:szCs w:val="20"/>
        </w:rPr>
      </w:pPr>
      <w:r>
        <w:rPr>
          <w:rFonts w:ascii="Times New Roman" w:hAnsi="Times New Roman" w:cs="Times New Roman"/>
          <w:color w:val="auto"/>
          <w:sz w:val="20"/>
          <w:szCs w:val="20"/>
        </w:rPr>
        <w:t>Компания, которая специализируется на</w:t>
      </w:r>
      <w:r>
        <w:rPr>
          <w:rFonts w:ascii="Times New Roman" w:hAnsi="Times New Roman" w:cs="Times New Roman"/>
          <w:color w:val="auto"/>
          <w:sz w:val="20"/>
          <w:szCs w:val="20"/>
        </w:rPr>
        <w:t xml:space="preserve"> венчурных инвестициях, или другая аналогичная компания может принять решение оценивать инвестиции в ассоциированные компании и совместные предприятия по справедливой стоимости через прибыль или убыток. Такое решение принимается отдельно для каждой инвести</w:t>
      </w:r>
      <w:r>
        <w:rPr>
          <w:rFonts w:ascii="Times New Roman" w:hAnsi="Times New Roman" w:cs="Times New Roman"/>
          <w:color w:val="auto"/>
          <w:sz w:val="20"/>
          <w:szCs w:val="20"/>
        </w:rPr>
        <w:t xml:space="preserve">ции при первоначальном признании. </w:t>
      </w:r>
    </w:p>
    <w:p w:rsidR="00FD06F3" w:rsidRDefault="0054425B">
      <w:pPr>
        <w:pStyle w:val="Default"/>
        <w:numPr>
          <w:ilvl w:val="0"/>
          <w:numId w:val="42"/>
        </w:numPr>
        <w:spacing w:before="120"/>
        <w:ind w:left="567" w:hanging="567"/>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Если компания, которая сама не является инвестиционной компанией, имеет долю участия в ассоциированной компании или совместном предприятии, являющихся инвестиционными компаниями, то при применении метода долевого участия </w:t>
      </w:r>
      <w:r>
        <w:rPr>
          <w:rFonts w:ascii="Times New Roman" w:hAnsi="Times New Roman" w:cs="Times New Roman"/>
          <w:color w:val="auto"/>
          <w:sz w:val="20"/>
          <w:szCs w:val="20"/>
        </w:rPr>
        <w:t>такая компания может решить сохранить оценку по справедливой стоимости, примененную ее ассоциированной компанией или совместным предприятием, являющимися инвестиционными компаниями, к своим собственным долям участия в дочерних компаниях. Такое решение прин</w:t>
      </w:r>
      <w:r>
        <w:rPr>
          <w:rFonts w:ascii="Times New Roman" w:hAnsi="Times New Roman" w:cs="Times New Roman"/>
          <w:color w:val="auto"/>
          <w:sz w:val="20"/>
          <w:szCs w:val="20"/>
        </w:rPr>
        <w:t xml:space="preserve">имается отдельно для каждой ассоциированной компании или совместного предприятия, являющихся инвестиционными компаниями, на более позднюю из следующих дат: (а) дату первоначального признания ассоциированной компании или совместного предприятия, являющихся </w:t>
      </w:r>
      <w:r>
        <w:rPr>
          <w:rFonts w:ascii="Times New Roman" w:hAnsi="Times New Roman" w:cs="Times New Roman"/>
          <w:color w:val="auto"/>
          <w:sz w:val="20"/>
          <w:szCs w:val="20"/>
        </w:rPr>
        <w:t>инвестиционными компаниями; (b) дату, на которую ассоциированная компания или совместное предприятие становятся инвестиционными компаниями; и (c) дату, на которую ассоциированная компания или совместное предприятие, являющиеся инвестиционными компаниями, в</w:t>
      </w:r>
      <w:r>
        <w:rPr>
          <w:rFonts w:ascii="Times New Roman" w:hAnsi="Times New Roman" w:cs="Times New Roman"/>
          <w:color w:val="auto"/>
          <w:sz w:val="20"/>
          <w:szCs w:val="20"/>
        </w:rPr>
        <w:t xml:space="preserve">первые становятся материнскими компаниями. </w:t>
      </w:r>
    </w:p>
    <w:p w:rsidR="00FD06F3" w:rsidRDefault="00FD06F3">
      <w:pPr>
        <w:pStyle w:val="Default"/>
        <w:jc w:val="both"/>
        <w:rPr>
          <w:rFonts w:ascii="Times New Roman" w:hAnsi="Times New Roman" w:cs="Times New Roman"/>
          <w:color w:val="auto"/>
          <w:sz w:val="20"/>
          <w:szCs w:val="20"/>
        </w:rPr>
      </w:pPr>
    </w:p>
    <w:p w:rsidR="00FD06F3" w:rsidRDefault="0054425B">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Данные поправки применяются ретроспективно и ступают в силу 1 января 2018 г. Допускается досрочное применение. Если компания применит данные поправки в отношении более раннего периода, она должна раскрыть этот факт. Данные поправки не применимы к Группе. </w:t>
      </w:r>
    </w:p>
    <w:p w:rsidR="00FD06F3" w:rsidRDefault="00FD06F3">
      <w:pPr>
        <w:pStyle w:val="Default"/>
        <w:jc w:val="both"/>
        <w:rPr>
          <w:rFonts w:ascii="Times New Roman" w:hAnsi="Times New Roman" w:cs="Times New Roman"/>
          <w:color w:val="auto"/>
          <w:sz w:val="20"/>
          <w:szCs w:val="20"/>
        </w:rPr>
      </w:pPr>
    </w:p>
    <w:p w:rsidR="00FD06F3" w:rsidRDefault="0054425B">
      <w:pPr>
        <w:pStyle w:val="Default"/>
        <w:jc w:val="both"/>
        <w:rPr>
          <w:rFonts w:ascii="Times New Roman" w:hAnsi="Times New Roman" w:cs="Times New Roman"/>
          <w:i/>
          <w:color w:val="auto"/>
          <w:sz w:val="20"/>
          <w:szCs w:val="20"/>
        </w:rPr>
      </w:pPr>
      <w:r>
        <w:rPr>
          <w:rFonts w:ascii="Times New Roman" w:hAnsi="Times New Roman" w:cs="Times New Roman"/>
          <w:i/>
          <w:color w:val="auto"/>
          <w:sz w:val="20"/>
          <w:szCs w:val="20"/>
        </w:rPr>
        <w:t xml:space="preserve">Поправки к МСФО (IFRS) 4 «Применение МСФО (IFRS) 9 «Финансовые инструменты» вместе с МСФО (IFRS) 4 «Договоры страхования» </w:t>
      </w:r>
    </w:p>
    <w:p w:rsidR="00FD06F3" w:rsidRDefault="00FD06F3">
      <w:pPr>
        <w:pStyle w:val="Default"/>
        <w:jc w:val="both"/>
        <w:rPr>
          <w:rFonts w:ascii="Times New Roman" w:hAnsi="Times New Roman" w:cs="Times New Roman"/>
          <w:color w:val="auto"/>
          <w:sz w:val="20"/>
          <w:szCs w:val="20"/>
        </w:rPr>
      </w:pPr>
    </w:p>
    <w:p w:rsidR="00FD06F3" w:rsidRDefault="0054425B">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Данные поправки устраняют проблемы, возникающие в связи с применением нового стандарта по финансовым инструментам, МСФО (IFRS) 9, д</w:t>
      </w:r>
      <w:r>
        <w:rPr>
          <w:rFonts w:ascii="Times New Roman" w:hAnsi="Times New Roman" w:cs="Times New Roman"/>
          <w:color w:val="auto"/>
          <w:sz w:val="20"/>
          <w:szCs w:val="20"/>
        </w:rPr>
        <w:t xml:space="preserve">о внедрения МСФО (IFRS) 17 </w:t>
      </w:r>
      <w:r>
        <w:rPr>
          <w:rFonts w:ascii="Times New Roman" w:hAnsi="Times New Roman" w:cs="Times New Roman"/>
          <w:i/>
          <w:color w:val="auto"/>
          <w:sz w:val="20"/>
          <w:szCs w:val="20"/>
        </w:rPr>
        <w:t>«Договоры страхования»</w:t>
      </w:r>
      <w:r>
        <w:rPr>
          <w:rFonts w:ascii="Times New Roman" w:hAnsi="Times New Roman" w:cs="Times New Roman"/>
          <w:color w:val="auto"/>
          <w:sz w:val="20"/>
          <w:szCs w:val="20"/>
        </w:rPr>
        <w:t>, который заменяет собой МСФО (IFRS) 4. Поправки предусматривают две возможности для компаний, выпускающих договоры страхования: временное освобождение от применения МСФО (IFRS) 9 и метод наложения. Временно</w:t>
      </w:r>
      <w:r>
        <w:rPr>
          <w:rFonts w:ascii="Times New Roman" w:hAnsi="Times New Roman" w:cs="Times New Roman"/>
          <w:color w:val="auto"/>
          <w:sz w:val="20"/>
          <w:szCs w:val="20"/>
        </w:rPr>
        <w:t>е освобождение впервые применяется в отношении отчетных периодов, начинающихся 1 января 2018 г. или после этой даты. Компания может принять решение о применении метода наложения, когда она впервые применяет МСФО (IFRS) 9, и применять данный метод ретроспек</w:t>
      </w:r>
      <w:r>
        <w:rPr>
          <w:rFonts w:ascii="Times New Roman" w:hAnsi="Times New Roman" w:cs="Times New Roman"/>
          <w:color w:val="auto"/>
          <w:sz w:val="20"/>
          <w:szCs w:val="20"/>
        </w:rPr>
        <w:t>тивно в отношении финансовых активов, классифицированных по усмотрению компании при переходе на МСФО (IFRS) 9. При этом компания пересчитывает сравнительную информацию, чтобы отразить метод наложения, в том и только в том случае, если она пересчитывает сра</w:t>
      </w:r>
      <w:r>
        <w:rPr>
          <w:rFonts w:ascii="Times New Roman" w:hAnsi="Times New Roman" w:cs="Times New Roman"/>
          <w:color w:val="auto"/>
          <w:sz w:val="20"/>
          <w:szCs w:val="20"/>
        </w:rPr>
        <w:t xml:space="preserve">внительную информацию при применении МСФО (IFRS) 9. Данные поправки не применимы к Группе. </w:t>
      </w:r>
    </w:p>
    <w:p w:rsidR="00FD06F3" w:rsidRDefault="00FD06F3">
      <w:pPr>
        <w:widowControl w:val="0"/>
      </w:pPr>
    </w:p>
    <w:p w:rsidR="00FD06F3" w:rsidRDefault="0054425B">
      <w:pPr>
        <w:jc w:val="left"/>
        <w:rPr>
          <w:b/>
          <w:caps/>
        </w:rPr>
      </w:pPr>
      <w:r>
        <w:br w:type="page"/>
      </w:r>
    </w:p>
    <w:p w:rsidR="00FD06F3" w:rsidRDefault="0054425B">
      <w:pPr>
        <w:pStyle w:val="13"/>
      </w:pPr>
      <w:r>
        <w:lastRenderedPageBreak/>
        <w:t>2.</w:t>
      </w:r>
      <w:r>
        <w:tab/>
        <w:t>ОСНОВНЫЕ ПОЛОЖЕНИЯ УЧЕТНОЙ ПОЛИТИКИ (</w:t>
      </w:r>
      <w:r>
        <w:rPr>
          <w:caps w:val="0"/>
        </w:rPr>
        <w:t>продолжение</w:t>
      </w:r>
      <w:r>
        <w:t>)</w:t>
      </w:r>
    </w:p>
    <w:p w:rsidR="00FD06F3" w:rsidRDefault="00FD06F3">
      <w:pPr>
        <w:widowControl w:val="0"/>
        <w:rPr>
          <w:b/>
        </w:rPr>
      </w:pPr>
    </w:p>
    <w:p w:rsidR="00FD06F3" w:rsidRDefault="0054425B">
      <w:pPr>
        <w:widowControl w:val="0"/>
        <w:ind w:left="567" w:hanging="567"/>
        <w:rPr>
          <w:b/>
        </w:rPr>
      </w:pPr>
      <w:r>
        <w:rPr>
          <w:b/>
        </w:rPr>
        <w:t>2.3</w:t>
      </w:r>
      <w:r>
        <w:rPr>
          <w:b/>
        </w:rPr>
        <w:tab/>
        <w:t>Изменения в учетной политике и раскрытие информации (продолжение)</w:t>
      </w:r>
    </w:p>
    <w:p w:rsidR="00FD06F3" w:rsidRDefault="00FD06F3">
      <w:pPr>
        <w:widowControl w:val="0"/>
      </w:pPr>
    </w:p>
    <w:p w:rsidR="00FD06F3" w:rsidRDefault="0054425B">
      <w:pPr>
        <w:widowControl w:val="0"/>
        <w:rPr>
          <w:b/>
          <w:bCs/>
        </w:rPr>
      </w:pPr>
      <w:r>
        <w:rPr>
          <w:b/>
          <w:bCs/>
        </w:rPr>
        <w:t>Стандарты, которые были выпущены, но</w:t>
      </w:r>
      <w:r>
        <w:rPr>
          <w:b/>
          <w:bCs/>
        </w:rPr>
        <w:t xml:space="preserve"> еще не вступили в силу (продолжение) </w:t>
      </w:r>
    </w:p>
    <w:p w:rsidR="00FD06F3" w:rsidRDefault="00FD06F3">
      <w:pPr>
        <w:widowControl w:val="0"/>
      </w:pPr>
    </w:p>
    <w:p w:rsidR="00FD06F3" w:rsidRDefault="0054425B">
      <w:pPr>
        <w:pStyle w:val="Default"/>
        <w:jc w:val="both"/>
        <w:rPr>
          <w:rFonts w:ascii="Times New Roman" w:hAnsi="Times New Roman" w:cs="Times New Roman"/>
          <w:i/>
          <w:color w:val="auto"/>
          <w:sz w:val="20"/>
          <w:szCs w:val="20"/>
        </w:rPr>
      </w:pPr>
      <w:r>
        <w:rPr>
          <w:rFonts w:ascii="Times New Roman" w:hAnsi="Times New Roman" w:cs="Times New Roman"/>
          <w:i/>
          <w:color w:val="auto"/>
          <w:sz w:val="20"/>
          <w:szCs w:val="20"/>
        </w:rPr>
        <w:t xml:space="preserve">Разъяснение КРМФО (IFRIC) 22 «Операции в иностранной валюте и предварительная оплата» </w:t>
      </w:r>
    </w:p>
    <w:p w:rsidR="00FD06F3" w:rsidRDefault="00FD06F3">
      <w:pPr>
        <w:pStyle w:val="Default"/>
        <w:jc w:val="both"/>
        <w:rPr>
          <w:rFonts w:ascii="Times New Roman" w:hAnsi="Times New Roman" w:cs="Times New Roman"/>
          <w:i/>
          <w:color w:val="auto"/>
          <w:sz w:val="20"/>
          <w:szCs w:val="20"/>
        </w:rPr>
      </w:pPr>
    </w:p>
    <w:p w:rsidR="00FD06F3" w:rsidRDefault="0054425B">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В разъяснении поясняется, что датой операции для целей определения обменного курса, который должен использоваться при первоначал</w:t>
      </w:r>
      <w:r>
        <w:rPr>
          <w:rFonts w:ascii="Times New Roman" w:hAnsi="Times New Roman" w:cs="Times New Roman"/>
          <w:color w:val="auto"/>
          <w:sz w:val="20"/>
          <w:szCs w:val="20"/>
        </w:rPr>
        <w:t>ьном признании соответствующего актива, расхода или дохода (или его части) при прекращении признания немонетарного актива или немонетарного обязательства, возникающих в результате совершения или получения предварительной оплаты, является дата, на которую к</w:t>
      </w:r>
      <w:r>
        <w:rPr>
          <w:rFonts w:ascii="Times New Roman" w:hAnsi="Times New Roman" w:cs="Times New Roman"/>
          <w:color w:val="auto"/>
          <w:sz w:val="20"/>
          <w:szCs w:val="20"/>
        </w:rPr>
        <w:t>омпания первоначально признает немонетарный актив или немонетарное обязательство, возникающие в результате совершения или получения предварительной оплаты. В случае нескольких операций совершения или получения предварительной оплаты компания должна определ</w:t>
      </w:r>
      <w:r>
        <w:rPr>
          <w:rFonts w:ascii="Times New Roman" w:hAnsi="Times New Roman" w:cs="Times New Roman"/>
          <w:color w:val="auto"/>
          <w:sz w:val="20"/>
          <w:szCs w:val="20"/>
        </w:rPr>
        <w:t xml:space="preserve">ять дату операции для каждой выплаты или получения предварительной оплаты. Компании могут применять данное разъяснение ретроспективно. В качестве альтернативы компания может применять разъяснение перспективно в отношении всех активов, расходов и доходов в </w:t>
      </w:r>
      <w:r>
        <w:rPr>
          <w:rFonts w:ascii="Times New Roman" w:hAnsi="Times New Roman" w:cs="Times New Roman"/>
          <w:color w:val="auto"/>
          <w:sz w:val="20"/>
          <w:szCs w:val="20"/>
        </w:rPr>
        <w:t xml:space="preserve">рамках сферы применения разъяснения, первоначально признанных на указанную дату или после нее: </w:t>
      </w:r>
    </w:p>
    <w:p w:rsidR="00FD06F3" w:rsidRDefault="0054425B">
      <w:pPr>
        <w:pStyle w:val="Default"/>
        <w:spacing w:before="120"/>
        <w:ind w:left="567" w:hanging="567"/>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(i) </w:t>
      </w:r>
      <w:r>
        <w:rPr>
          <w:rFonts w:ascii="Times New Roman" w:hAnsi="Times New Roman" w:cs="Times New Roman"/>
          <w:color w:val="auto"/>
          <w:sz w:val="20"/>
          <w:szCs w:val="20"/>
        </w:rPr>
        <w:tab/>
        <w:t xml:space="preserve">начало отчетного периода, в котором компания впервые применяет данное разъяснение; или </w:t>
      </w:r>
    </w:p>
    <w:p w:rsidR="00FD06F3" w:rsidRDefault="0054425B">
      <w:pPr>
        <w:pStyle w:val="Default"/>
        <w:spacing w:before="120"/>
        <w:ind w:left="567" w:hanging="567"/>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(ii) </w:t>
      </w:r>
      <w:r>
        <w:rPr>
          <w:rFonts w:ascii="Times New Roman" w:hAnsi="Times New Roman" w:cs="Times New Roman"/>
          <w:color w:val="auto"/>
          <w:sz w:val="20"/>
          <w:szCs w:val="20"/>
        </w:rPr>
        <w:tab/>
        <w:t>начало предыдущего отчетного периода, представленного в качес</w:t>
      </w:r>
      <w:r>
        <w:rPr>
          <w:rFonts w:ascii="Times New Roman" w:hAnsi="Times New Roman" w:cs="Times New Roman"/>
          <w:color w:val="auto"/>
          <w:sz w:val="20"/>
          <w:szCs w:val="20"/>
        </w:rPr>
        <w:t xml:space="preserve">тве сравнительной информации в финансовой отчетности отчетного периода, в котором компания впервые применяет данное разъяснение. </w:t>
      </w:r>
    </w:p>
    <w:p w:rsidR="00FD06F3" w:rsidRDefault="00FD06F3">
      <w:pPr>
        <w:pStyle w:val="Default"/>
        <w:jc w:val="both"/>
        <w:rPr>
          <w:rFonts w:ascii="Times New Roman" w:hAnsi="Times New Roman" w:cs="Times New Roman"/>
          <w:color w:val="auto"/>
          <w:sz w:val="20"/>
          <w:szCs w:val="20"/>
        </w:rPr>
      </w:pPr>
    </w:p>
    <w:p w:rsidR="00FD06F3" w:rsidRDefault="0054425B">
      <w:pPr>
        <w:widowControl w:val="0"/>
      </w:pPr>
      <w:r>
        <w:t>Разъяснение вступает в силу в отношении годовых отчетных периодов, начинающихся 1 января 2018 г. или после этой даты. Допуска</w:t>
      </w:r>
      <w:r>
        <w:t xml:space="preserve">ется досрочное применение при условии раскрытия данного факта. Однако поскольку текущая деятельность Группы соответствует требованиям разъяснения, Группа не ожидает, что оно окажет влияние на ее консолидированную финансовую отчетность. </w:t>
      </w:r>
    </w:p>
    <w:p w:rsidR="00FD06F3" w:rsidRDefault="00FD06F3">
      <w:pPr>
        <w:widowControl w:val="0"/>
      </w:pPr>
    </w:p>
    <w:p w:rsidR="00FD06F3" w:rsidRDefault="0054425B">
      <w:pPr>
        <w:pStyle w:val="Default"/>
        <w:jc w:val="both"/>
        <w:rPr>
          <w:rFonts w:ascii="Times New Roman" w:hAnsi="Times New Roman" w:cs="Times New Roman"/>
          <w:i/>
          <w:color w:val="auto"/>
          <w:sz w:val="20"/>
          <w:szCs w:val="20"/>
        </w:rPr>
      </w:pPr>
      <w:r>
        <w:rPr>
          <w:rFonts w:ascii="Times New Roman" w:hAnsi="Times New Roman" w:cs="Times New Roman"/>
          <w:i/>
          <w:color w:val="auto"/>
          <w:sz w:val="20"/>
          <w:szCs w:val="20"/>
        </w:rPr>
        <w:t>Поправки к МСФО (I</w:t>
      </w:r>
      <w:r>
        <w:rPr>
          <w:rFonts w:ascii="Times New Roman" w:hAnsi="Times New Roman" w:cs="Times New Roman"/>
          <w:i/>
          <w:color w:val="auto"/>
          <w:sz w:val="20"/>
          <w:szCs w:val="20"/>
        </w:rPr>
        <w:t xml:space="preserve">FRS) 4 «Применение МСФО (IFRS) 9 «Финансовые инструменты» вместе с МСФО (IFRS) 4 «Договоры страхования» </w:t>
      </w:r>
    </w:p>
    <w:p w:rsidR="00FD06F3" w:rsidRDefault="00FD06F3">
      <w:pPr>
        <w:pStyle w:val="Default"/>
        <w:jc w:val="both"/>
        <w:rPr>
          <w:rFonts w:ascii="Times New Roman" w:hAnsi="Times New Roman" w:cs="Times New Roman"/>
          <w:color w:val="auto"/>
          <w:sz w:val="20"/>
          <w:szCs w:val="20"/>
        </w:rPr>
      </w:pPr>
    </w:p>
    <w:p w:rsidR="00FD06F3" w:rsidRDefault="0054425B">
      <w:pPr>
        <w:widowControl w:val="0"/>
      </w:pPr>
      <w:r>
        <w:t>Данные поправки устраняют проблемы, возникающие в связи с применением нового стандарта по финансовым инструментам, МСФО (IFRS) 9, до внедрения МСФО (I</w:t>
      </w:r>
      <w:r>
        <w:t xml:space="preserve">FRS) 17 </w:t>
      </w:r>
      <w:r>
        <w:rPr>
          <w:i/>
        </w:rPr>
        <w:t>«Договоры страхования»</w:t>
      </w:r>
      <w:r>
        <w:t>, который заменяет собой МСФО (IFRS) 4. Поправки предусматривают две возможности для компаний, выпускающих договоры страхования: временное освобождение от применения МСФО (IFRS) 9 и метод наложения. Временное освобождение впер</w:t>
      </w:r>
      <w:r>
        <w:t>вые применяется в отношении отчетных периодов, начинающихся 1 января 2018 г. или после этой даты. Компания может принять решение о применении метода наложения, когда она впервые применяет МСФО (IFRS) 9, и применять данный метод ретроспективно в отношении ф</w:t>
      </w:r>
      <w:r>
        <w:t>инансовых активов, классифицированных по усмотрению компании при переходе на МСФО (IFRS) 9. При этом компания пересчитывает сравнительную информацию, чтобы отразить метод наложения, в том и только в том случае, если она пересчитывает сравнительную информац</w:t>
      </w:r>
      <w:r>
        <w:t xml:space="preserve">ию при применении МСФО (IFRS) 9. Данные поправки не применимы к Группе. </w:t>
      </w:r>
    </w:p>
    <w:p w:rsidR="00FD06F3" w:rsidRDefault="00FD06F3">
      <w:pPr>
        <w:widowControl w:val="0"/>
      </w:pPr>
    </w:p>
    <w:p w:rsidR="00FD06F3" w:rsidRDefault="0054425B">
      <w:pPr>
        <w:pStyle w:val="Default"/>
        <w:jc w:val="both"/>
        <w:rPr>
          <w:rFonts w:ascii="Times New Roman" w:hAnsi="Times New Roman" w:cs="Times New Roman"/>
          <w:i/>
          <w:color w:val="auto"/>
          <w:sz w:val="20"/>
          <w:szCs w:val="20"/>
        </w:rPr>
      </w:pPr>
      <w:r>
        <w:rPr>
          <w:rFonts w:ascii="Times New Roman" w:hAnsi="Times New Roman" w:cs="Times New Roman"/>
          <w:i/>
          <w:color w:val="auto"/>
          <w:sz w:val="20"/>
          <w:szCs w:val="20"/>
        </w:rPr>
        <w:t xml:space="preserve">Разъяснение КРМФО (IFRIC) 23 «Неопределенность в отношении правил исчисления налога на прибыль» </w:t>
      </w:r>
    </w:p>
    <w:p w:rsidR="00FD06F3" w:rsidRDefault="00FD06F3">
      <w:pPr>
        <w:pStyle w:val="Default"/>
        <w:jc w:val="both"/>
        <w:rPr>
          <w:rFonts w:ascii="Times New Roman" w:hAnsi="Times New Roman" w:cs="Times New Roman"/>
          <w:color w:val="auto"/>
          <w:sz w:val="20"/>
          <w:szCs w:val="20"/>
        </w:rPr>
      </w:pPr>
    </w:p>
    <w:p w:rsidR="00FD06F3" w:rsidRDefault="0054425B">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Разъяснение рассматривает порядок учета налога на прибыль, когда существует неопределенность налоговых трактовок, что влияет на применение МСФО (IAS) 12. Разъяснение не применяется к налогам или сборам, которые не относятся к сфере применения МСФО (IAS) 12</w:t>
      </w:r>
      <w:r>
        <w:rPr>
          <w:rFonts w:ascii="Times New Roman" w:hAnsi="Times New Roman" w:cs="Times New Roman"/>
          <w:color w:val="auto"/>
          <w:sz w:val="20"/>
          <w:szCs w:val="20"/>
        </w:rPr>
        <w:t xml:space="preserve">, а также не содержит особых требований, касающихся процентов и штрафов, связанных с неопределенными налоговыми трактовками. В частности, разъяснение рассматривает следующие вопросы: </w:t>
      </w:r>
    </w:p>
    <w:p w:rsidR="00FD06F3" w:rsidRDefault="0054425B">
      <w:pPr>
        <w:pStyle w:val="Default"/>
        <w:numPr>
          <w:ilvl w:val="1"/>
          <w:numId w:val="48"/>
        </w:numPr>
        <w:spacing w:before="120"/>
        <w:ind w:left="567" w:hanging="567"/>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рассматривает ли компания неопределенные налоговые трактовки отдельно; </w:t>
      </w:r>
    </w:p>
    <w:p w:rsidR="00FD06F3" w:rsidRDefault="0054425B">
      <w:pPr>
        <w:pStyle w:val="Default"/>
        <w:numPr>
          <w:ilvl w:val="1"/>
          <w:numId w:val="48"/>
        </w:numPr>
        <w:spacing w:before="120"/>
        <w:ind w:left="567" w:hanging="567"/>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допущения, которые компания делает в отношении проверки налоговых трактовок налоговыми органами; </w:t>
      </w:r>
    </w:p>
    <w:p w:rsidR="00FD06F3" w:rsidRDefault="0054425B">
      <w:pPr>
        <w:pStyle w:val="Default"/>
        <w:numPr>
          <w:ilvl w:val="1"/>
          <w:numId w:val="48"/>
        </w:numPr>
        <w:spacing w:before="120"/>
        <w:ind w:left="567" w:hanging="567"/>
        <w:jc w:val="both"/>
        <w:rPr>
          <w:rFonts w:ascii="Times New Roman" w:hAnsi="Times New Roman" w:cs="Times New Roman"/>
          <w:color w:val="auto"/>
          <w:sz w:val="20"/>
          <w:szCs w:val="20"/>
        </w:rPr>
      </w:pPr>
      <w:r>
        <w:rPr>
          <w:rFonts w:ascii="Times New Roman" w:hAnsi="Times New Roman" w:cs="Times New Roman"/>
          <w:color w:val="auto"/>
          <w:sz w:val="20"/>
          <w:szCs w:val="20"/>
        </w:rPr>
        <w:t>как компания определяет налогооблагаемую прибыль (налоговый убыток), налоговую базу, неиспользованные налоговые убытки, неиспользованные налоговые льготы и ст</w:t>
      </w:r>
      <w:r>
        <w:rPr>
          <w:rFonts w:ascii="Times New Roman" w:hAnsi="Times New Roman" w:cs="Times New Roman"/>
          <w:color w:val="auto"/>
          <w:sz w:val="20"/>
          <w:szCs w:val="20"/>
        </w:rPr>
        <w:t xml:space="preserve">авки налога; </w:t>
      </w:r>
    </w:p>
    <w:p w:rsidR="00FD06F3" w:rsidRDefault="0054425B">
      <w:pPr>
        <w:pStyle w:val="Default"/>
        <w:numPr>
          <w:ilvl w:val="1"/>
          <w:numId w:val="48"/>
        </w:numPr>
        <w:spacing w:before="120"/>
        <w:ind w:left="567" w:hanging="567"/>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как компания рассматривает изменения фактов и обстоятельств. </w:t>
      </w:r>
    </w:p>
    <w:p w:rsidR="00FD06F3" w:rsidRDefault="00FD06F3">
      <w:pPr>
        <w:pStyle w:val="Default"/>
        <w:jc w:val="both"/>
        <w:rPr>
          <w:rFonts w:ascii="Times New Roman" w:hAnsi="Times New Roman" w:cs="Times New Roman"/>
          <w:color w:val="auto"/>
          <w:sz w:val="20"/>
          <w:szCs w:val="20"/>
        </w:rPr>
      </w:pPr>
    </w:p>
    <w:p w:rsidR="00FD06F3" w:rsidRDefault="0054425B">
      <w:pPr>
        <w:jc w:val="left"/>
      </w:pPr>
      <w:r>
        <w:br w:type="page"/>
      </w:r>
    </w:p>
    <w:p w:rsidR="00FD06F3" w:rsidRDefault="0054425B">
      <w:pPr>
        <w:pStyle w:val="13"/>
      </w:pPr>
      <w:r>
        <w:lastRenderedPageBreak/>
        <w:t>2.</w:t>
      </w:r>
      <w:r>
        <w:tab/>
        <w:t>ОСНОВНЫЕ ПОЛОЖЕНИЯ УЧЕТНОЙ ПОЛИТИКИ (</w:t>
      </w:r>
      <w:r>
        <w:rPr>
          <w:caps w:val="0"/>
        </w:rPr>
        <w:t>продолжение</w:t>
      </w:r>
      <w:r>
        <w:t>)</w:t>
      </w:r>
    </w:p>
    <w:p w:rsidR="00FD06F3" w:rsidRDefault="00FD06F3">
      <w:pPr>
        <w:widowControl w:val="0"/>
        <w:rPr>
          <w:b/>
        </w:rPr>
      </w:pPr>
    </w:p>
    <w:p w:rsidR="00FD06F3" w:rsidRDefault="0054425B">
      <w:pPr>
        <w:widowControl w:val="0"/>
        <w:ind w:left="567" w:hanging="567"/>
        <w:rPr>
          <w:b/>
        </w:rPr>
      </w:pPr>
      <w:r>
        <w:rPr>
          <w:b/>
        </w:rPr>
        <w:t>2.3</w:t>
      </w:r>
      <w:r>
        <w:rPr>
          <w:b/>
        </w:rPr>
        <w:tab/>
        <w:t>Изменения в учетной политике и раскрытие информации (продолжение)</w:t>
      </w:r>
    </w:p>
    <w:p w:rsidR="00FD06F3" w:rsidRDefault="00FD06F3">
      <w:pPr>
        <w:widowControl w:val="0"/>
      </w:pPr>
    </w:p>
    <w:p w:rsidR="00FD06F3" w:rsidRDefault="0054425B">
      <w:pPr>
        <w:widowControl w:val="0"/>
      </w:pPr>
      <w:r>
        <w:t>Компания должна решить, рассматривать ли каждую неоп</w:t>
      </w:r>
      <w:r>
        <w:t>ределенную налоговую трактовку по отдельности или вместе с одной или несколькими другими неопределенными налоговыми трактовками. Необходимо использовать подход, который позволит с большей точностью предсказать результат разрешения неопределенности. Разъясн</w:t>
      </w:r>
      <w:r>
        <w:t>ение вступает в силу в отношении годовых отчетных периодов, начинающихся 1 января 2019 г. или после этой даты. Группа будет применять разъяснение с даты его вступления в силу.</w:t>
      </w:r>
    </w:p>
    <w:p w:rsidR="00FD06F3" w:rsidRDefault="00FD06F3">
      <w:pPr>
        <w:widowControl w:val="0"/>
      </w:pPr>
    </w:p>
    <w:p w:rsidR="00FD06F3" w:rsidRDefault="0054425B">
      <w:pPr>
        <w:pStyle w:val="2"/>
      </w:pPr>
      <w:bookmarkStart w:id="42" w:name="_Toc387743820"/>
      <w:r>
        <w:t>2.4</w:t>
      </w:r>
      <w:r>
        <w:tab/>
        <w:t>Принципы консолидации</w:t>
      </w:r>
      <w:bookmarkEnd w:id="42"/>
    </w:p>
    <w:p w:rsidR="00FD06F3" w:rsidRDefault="00FD06F3">
      <w:pPr>
        <w:widowControl w:val="0"/>
      </w:pPr>
    </w:p>
    <w:p w:rsidR="00FD06F3" w:rsidRDefault="0054425B">
      <w:pPr>
        <w:widowControl w:val="0"/>
        <w:rPr>
          <w:bCs/>
          <w:i/>
          <w:iCs/>
        </w:rPr>
      </w:pPr>
      <w:r>
        <w:rPr>
          <w:bCs/>
          <w:i/>
          <w:iCs/>
        </w:rPr>
        <w:t>Дочерние компании</w:t>
      </w:r>
    </w:p>
    <w:p w:rsidR="00FD06F3" w:rsidRDefault="00FD06F3">
      <w:pPr>
        <w:widowControl w:val="0"/>
      </w:pPr>
    </w:p>
    <w:p w:rsidR="00FD06F3" w:rsidRDefault="0054425B">
      <w:pPr>
        <w:widowControl w:val="0"/>
      </w:pPr>
      <w:r>
        <w:t>Дочерние компании, т.е. компании,</w:t>
      </w:r>
      <w:r>
        <w:t xml:space="preserve"> в которых Группе принадлежит более половины голосующих акций, или контроль над деятельностью которых Группа осуществляет на иных основаниях, консолидируются. Консолидация дочерних компаний начинается с даты перехода к Группе контроля над ними и прекращает</w:t>
      </w:r>
      <w:r>
        <w:t>ся с даты потери контроля. Все внутрифирменные операции, остатки и нереализованная прибыль по операциям между компаниями Группы исключаются. Нереализованные убытки также исключаются, кроме случаев, когда в сделке есть признаки снижения стоимости передаваем</w:t>
      </w:r>
      <w:r>
        <w:t xml:space="preserve">ого актива. При необходимости в учетную политику дочерних компаний вносятся изменения для приведения ее в соответствие с учетной политикой Группы. </w:t>
      </w:r>
    </w:p>
    <w:p w:rsidR="00FD06F3" w:rsidRDefault="00FD06F3">
      <w:pPr>
        <w:widowControl w:val="0"/>
      </w:pPr>
    </w:p>
    <w:p w:rsidR="00FD06F3" w:rsidRDefault="0054425B">
      <w:pPr>
        <w:widowControl w:val="0"/>
      </w:pPr>
      <w:r>
        <w:t>Неконтрольная доля участия – это доля в дочерних компаниях, не принадлежащая Группе. Неконтрольная доля уча</w:t>
      </w:r>
      <w:r>
        <w:t>стия на отчетную дату представляет собой принадлежащую миноритарным акционерам долю в справедливой стоимости идентифицируемых активов и обязательств дочерней компании на дату приобретения и в изменении капитала дочерней компании после объединения. Неконтро</w:t>
      </w:r>
      <w:r>
        <w:t xml:space="preserve">льная доля участия отражается в составе капитала. </w:t>
      </w:r>
    </w:p>
    <w:p w:rsidR="00FD06F3" w:rsidRDefault="00FD06F3">
      <w:pPr>
        <w:widowControl w:val="0"/>
        <w:rPr>
          <w:i/>
          <w:iCs/>
        </w:rPr>
      </w:pPr>
    </w:p>
    <w:p w:rsidR="00FD06F3" w:rsidRDefault="0054425B">
      <w:pPr>
        <w:widowControl w:val="0"/>
        <w:autoSpaceDE w:val="0"/>
        <w:autoSpaceDN w:val="0"/>
        <w:adjustRightInd w:val="0"/>
        <w:rPr>
          <w:bCs/>
          <w:i/>
          <w:iCs/>
        </w:rPr>
      </w:pPr>
      <w:r>
        <w:rPr>
          <w:bCs/>
          <w:i/>
          <w:iCs/>
        </w:rPr>
        <w:t>Приобретение дочерних компаний у сторон, находящихся под общим контролем</w:t>
      </w:r>
    </w:p>
    <w:p w:rsidR="00FD06F3" w:rsidRDefault="00FD06F3">
      <w:pPr>
        <w:widowControl w:val="0"/>
      </w:pPr>
    </w:p>
    <w:p w:rsidR="00FD06F3" w:rsidRDefault="0054425B">
      <w:pPr>
        <w:widowControl w:val="0"/>
      </w:pPr>
      <w:r>
        <w:t>Учет приобретения дочерних компаний у сторон, находящихся под общим контролем, ведется по методу объединения долей участия. Активы</w:t>
      </w:r>
      <w:r>
        <w:t xml:space="preserve"> и обязательства дочерней компании, переданной между сторонами, находящимися под общим контролем, отражаются в данной консолидированной финансовой отчетности по их балансовой стоимости в отчетности передающей компании на дату перехода. Разница между общей </w:t>
      </w:r>
      <w:r>
        <w:t>балансовой стоимостью чистых активов и суммой выплаченного вознаграждения учитывается в составе капитала.</w:t>
      </w:r>
    </w:p>
    <w:p w:rsidR="00FD06F3" w:rsidRDefault="00FD06F3">
      <w:pPr>
        <w:widowControl w:val="0"/>
      </w:pPr>
    </w:p>
    <w:p w:rsidR="00FD06F3" w:rsidRDefault="0054425B">
      <w:pPr>
        <w:pStyle w:val="2"/>
      </w:pPr>
      <w:bookmarkStart w:id="43" w:name="_Toc387743823"/>
      <w:r>
        <w:t>2.5</w:t>
      </w:r>
      <w:r>
        <w:tab/>
        <w:t>Налог на добавленную стоимость</w:t>
      </w:r>
      <w:bookmarkEnd w:id="43"/>
    </w:p>
    <w:p w:rsidR="00FD06F3" w:rsidRDefault="00FD06F3">
      <w:pPr>
        <w:widowControl w:val="0"/>
      </w:pPr>
    </w:p>
    <w:p w:rsidR="00FD06F3" w:rsidRDefault="0054425B">
      <w:pPr>
        <w:widowControl w:val="0"/>
      </w:pPr>
      <w:r>
        <w:t>В соответствии с российским налоговым законодательством налог на добавленную стоимость (НДС) по приобретенным тов</w:t>
      </w:r>
      <w:r>
        <w:t>арам и услугам подлежит возмещению путем зачета против суммы задолженности по НДС, начисляемого на реализуемую продукцию и услуги, если взаимозачитываемые суммы относятся к одному юридическому лицу.</w:t>
      </w:r>
    </w:p>
    <w:p w:rsidR="00FD06F3" w:rsidRDefault="00FD06F3">
      <w:pPr>
        <w:widowControl w:val="0"/>
        <w:rPr>
          <w:i/>
          <w:iCs/>
        </w:rPr>
      </w:pPr>
    </w:p>
    <w:p w:rsidR="00FD06F3" w:rsidRDefault="0054425B">
      <w:pPr>
        <w:widowControl w:val="0"/>
      </w:pPr>
      <w:r>
        <w:t>НДС подлежит уплате в государственный бюджет после реали</w:t>
      </w:r>
      <w:r>
        <w:t>зации продукции, выполнения работ или оказания услуг и выставления счетов-фактур, а также после получения предоплаты от покупателей и заказчиков. НДС по приобретенным товарам и услугам вычитается из суммы задолженности по НДС, даже если расчеты по ним не б</w:t>
      </w:r>
      <w:r>
        <w:t>ыли завершены на отчетную дату.</w:t>
      </w:r>
    </w:p>
    <w:p w:rsidR="00FD06F3" w:rsidRDefault="00FD06F3">
      <w:pPr>
        <w:widowControl w:val="0"/>
        <w:rPr>
          <w:i/>
          <w:iCs/>
        </w:rPr>
      </w:pPr>
    </w:p>
    <w:p w:rsidR="00FD06F3" w:rsidRDefault="0054425B">
      <w:pPr>
        <w:widowControl w:val="0"/>
      </w:pPr>
      <w:r>
        <w:t>При создании резерва под снижение стоимости дебиторской задолженности резервируется вся сумма сомнительной задолженности, включая НДС.</w:t>
      </w:r>
    </w:p>
    <w:p w:rsidR="00FD06F3" w:rsidRDefault="00FD06F3">
      <w:pPr>
        <w:widowControl w:val="0"/>
      </w:pPr>
    </w:p>
    <w:p w:rsidR="00FD06F3" w:rsidRDefault="0054425B">
      <w:pPr>
        <w:pStyle w:val="2"/>
      </w:pPr>
      <w:bookmarkStart w:id="44" w:name="_Toc387743824"/>
      <w:r>
        <w:t>2.6</w:t>
      </w:r>
      <w:r>
        <w:tab/>
        <w:t>Запасы</w:t>
      </w:r>
      <w:bookmarkEnd w:id="44"/>
    </w:p>
    <w:p w:rsidR="00FD06F3" w:rsidRDefault="00FD06F3">
      <w:pPr>
        <w:widowControl w:val="0"/>
      </w:pPr>
    </w:p>
    <w:p w:rsidR="00FD06F3" w:rsidRDefault="0054425B">
      <w:pPr>
        <w:widowControl w:val="0"/>
      </w:pPr>
      <w:r>
        <w:t xml:space="preserve">Запасы учитываются по наименьшей из двух величин: себестоимости или чистой </w:t>
      </w:r>
      <w:r>
        <w:t>возможной цены реализации. Себестоимость запасов определяется методом средневзвешенной стоимости и включает затраты на материалы и оплату труда, а также непрямые производственные затраты (рассчитанные на основе нормативного использования производственных м</w:t>
      </w:r>
      <w:r>
        <w:t>ощностей). Чистая возможная цена реализации представляет собой расчетную цену продажи, устанавливаемую в ходе обычной деятельности, уменьшенную на затраты, необходимые для подготовки и осуществления продажи актива.</w:t>
      </w:r>
    </w:p>
    <w:p w:rsidR="00FD06F3" w:rsidRDefault="0054425B">
      <w:pPr>
        <w:jc w:val="left"/>
        <w:rPr>
          <w:caps/>
          <w:snapToGrid w:val="0"/>
        </w:rPr>
      </w:pPr>
      <w:bookmarkStart w:id="45" w:name="_Toc108251387"/>
      <w:r>
        <w:rPr>
          <w:caps/>
          <w:snapToGrid w:val="0"/>
        </w:rPr>
        <w:br w:type="page"/>
      </w:r>
    </w:p>
    <w:p w:rsidR="00FD06F3" w:rsidRDefault="0054425B">
      <w:pPr>
        <w:pStyle w:val="13"/>
      </w:pPr>
      <w:r>
        <w:lastRenderedPageBreak/>
        <w:t>2.</w:t>
      </w:r>
      <w:r>
        <w:tab/>
        <w:t xml:space="preserve">ОСНОВНЫЕ ПОЛОЖЕНИЯ УЧЕТНОЙ ПОЛИТИКИ </w:t>
      </w:r>
      <w:r>
        <w:t>(</w:t>
      </w:r>
      <w:r>
        <w:rPr>
          <w:caps w:val="0"/>
        </w:rPr>
        <w:t>продолжение</w:t>
      </w:r>
      <w:r>
        <w:t>)</w:t>
      </w:r>
    </w:p>
    <w:p w:rsidR="00FD06F3" w:rsidRDefault="00FD06F3">
      <w:pPr>
        <w:widowControl w:val="0"/>
        <w:rPr>
          <w:caps/>
          <w:snapToGrid w:val="0"/>
        </w:rPr>
      </w:pPr>
    </w:p>
    <w:p w:rsidR="00FD06F3" w:rsidRDefault="0054425B">
      <w:pPr>
        <w:pStyle w:val="2"/>
      </w:pPr>
      <w:bookmarkStart w:id="46" w:name="_Toc387743825"/>
      <w:r>
        <w:t>2.7</w:t>
      </w:r>
      <w:r>
        <w:tab/>
        <w:t>Денежные средства и их эквиваленты</w:t>
      </w:r>
      <w:bookmarkEnd w:id="46"/>
    </w:p>
    <w:p w:rsidR="00FD06F3" w:rsidRDefault="00FD06F3">
      <w:pPr>
        <w:widowControl w:val="0"/>
      </w:pPr>
    </w:p>
    <w:p w:rsidR="00FD06F3" w:rsidRDefault="0054425B">
      <w:pPr>
        <w:widowControl w:val="0"/>
      </w:pPr>
      <w:r>
        <w:t xml:space="preserve">Денежные средства и их эквиваленты включают денежные средства в банках и наличные денежные средства, а также краткосрочные депозиты с первоначальным сроком погашения не более трех месяцев. </w:t>
      </w:r>
    </w:p>
    <w:bookmarkEnd w:id="45"/>
    <w:p w:rsidR="00FD06F3" w:rsidRDefault="00FD06F3">
      <w:pPr>
        <w:widowControl w:val="0"/>
      </w:pPr>
    </w:p>
    <w:p w:rsidR="00FD06F3" w:rsidRDefault="0054425B">
      <w:pPr>
        <w:pStyle w:val="2"/>
      </w:pPr>
      <w:bookmarkStart w:id="47" w:name="_Toc387743826"/>
      <w:r>
        <w:t>2.8</w:t>
      </w:r>
      <w:r>
        <w:tab/>
        <w:t>Основн</w:t>
      </w:r>
      <w:r>
        <w:t>ые средства</w:t>
      </w:r>
      <w:bookmarkEnd w:id="47"/>
    </w:p>
    <w:p w:rsidR="00FD06F3" w:rsidRDefault="00FD06F3">
      <w:pPr>
        <w:widowControl w:val="0"/>
      </w:pPr>
    </w:p>
    <w:p w:rsidR="00FD06F3" w:rsidRDefault="0054425B">
      <w:pPr>
        <w:widowControl w:val="0"/>
      </w:pPr>
      <w:r>
        <w:t>Основные средства отражены по стоимости приобретения или строительства.</w:t>
      </w:r>
    </w:p>
    <w:p w:rsidR="00FD06F3" w:rsidRDefault="00FD06F3">
      <w:pPr>
        <w:widowControl w:val="0"/>
      </w:pPr>
    </w:p>
    <w:p w:rsidR="00FD06F3" w:rsidRDefault="0054425B">
      <w:pPr>
        <w:widowControl w:val="0"/>
      </w:pPr>
      <w:r>
        <w:t>Амортизация рассчитывается на основании определенной ранее балансовой стоимости за вычетом остаточной стоимости и расчетных сроков полезного использования соответствующих</w:t>
      </w:r>
      <w:r>
        <w:t xml:space="preserve"> активов. Для расчета амортизационных отчислений Группа использует линейный метод. Предполагаемые сроки полезного использования основных средств представлены следующим образом (лет):</w:t>
      </w:r>
    </w:p>
    <w:p w:rsidR="00FD06F3" w:rsidRDefault="00FD06F3">
      <w:pPr>
        <w:widowControl w:val="0"/>
      </w:pPr>
    </w:p>
    <w:tbl>
      <w:tblPr>
        <w:tblW w:w="0" w:type="auto"/>
        <w:jc w:val="center"/>
        <w:tblLayout w:type="fixed"/>
        <w:tblLook w:val="0000" w:firstRow="0" w:lastRow="0" w:firstColumn="0" w:lastColumn="0" w:noHBand="0" w:noVBand="0"/>
      </w:tblPr>
      <w:tblGrid>
        <w:gridCol w:w="5102"/>
        <w:gridCol w:w="1701"/>
      </w:tblGrid>
      <w:tr w:rsidR="00FD06F3">
        <w:trPr>
          <w:trHeight w:val="20"/>
          <w:jc w:val="center"/>
        </w:trPr>
        <w:tc>
          <w:tcPr>
            <w:tcW w:w="5102" w:type="dxa"/>
            <w:vAlign w:val="bottom"/>
          </w:tcPr>
          <w:p w:rsidR="00FD06F3" w:rsidRDefault="0054425B">
            <w:pPr>
              <w:pStyle w:val="Tabletext"/>
              <w:widowControl w:val="0"/>
              <w:ind w:left="-108"/>
              <w:rPr>
                <w:szCs w:val="20"/>
              </w:rPr>
            </w:pPr>
            <w:r>
              <w:rPr>
                <w:szCs w:val="20"/>
              </w:rPr>
              <w:t>Здания и сооружения</w:t>
            </w:r>
          </w:p>
        </w:tc>
        <w:tc>
          <w:tcPr>
            <w:tcW w:w="1701" w:type="dxa"/>
            <w:vAlign w:val="bottom"/>
          </w:tcPr>
          <w:p w:rsidR="00FD06F3" w:rsidRDefault="0054425B">
            <w:pPr>
              <w:pStyle w:val="Tabletext"/>
              <w:widowControl w:val="0"/>
              <w:jc w:val="right"/>
              <w:rPr>
                <w:szCs w:val="20"/>
              </w:rPr>
            </w:pPr>
            <w:r>
              <w:rPr>
                <w:szCs w:val="20"/>
              </w:rPr>
              <w:t>25-50</w:t>
            </w:r>
          </w:p>
        </w:tc>
      </w:tr>
      <w:tr w:rsidR="00FD06F3">
        <w:trPr>
          <w:trHeight w:val="20"/>
          <w:jc w:val="center"/>
        </w:trPr>
        <w:tc>
          <w:tcPr>
            <w:tcW w:w="5102" w:type="dxa"/>
            <w:vAlign w:val="bottom"/>
          </w:tcPr>
          <w:p w:rsidR="00FD06F3" w:rsidRDefault="0054425B">
            <w:pPr>
              <w:pStyle w:val="Tabletext"/>
              <w:widowControl w:val="0"/>
              <w:ind w:left="-108"/>
              <w:rPr>
                <w:szCs w:val="20"/>
              </w:rPr>
            </w:pPr>
            <w:r>
              <w:rPr>
                <w:szCs w:val="20"/>
              </w:rPr>
              <w:t>Машины и оборудование</w:t>
            </w:r>
          </w:p>
        </w:tc>
        <w:tc>
          <w:tcPr>
            <w:tcW w:w="1701" w:type="dxa"/>
            <w:vAlign w:val="bottom"/>
          </w:tcPr>
          <w:p w:rsidR="00FD06F3" w:rsidRDefault="0054425B">
            <w:pPr>
              <w:pStyle w:val="Tabletext"/>
              <w:widowControl w:val="0"/>
              <w:jc w:val="right"/>
              <w:rPr>
                <w:szCs w:val="20"/>
              </w:rPr>
            </w:pPr>
            <w:r>
              <w:rPr>
                <w:szCs w:val="20"/>
              </w:rPr>
              <w:t>5-10</w:t>
            </w:r>
          </w:p>
        </w:tc>
      </w:tr>
      <w:tr w:rsidR="00FD06F3">
        <w:trPr>
          <w:trHeight w:val="20"/>
          <w:jc w:val="center"/>
        </w:trPr>
        <w:tc>
          <w:tcPr>
            <w:tcW w:w="5102" w:type="dxa"/>
            <w:vAlign w:val="bottom"/>
          </w:tcPr>
          <w:p w:rsidR="00FD06F3" w:rsidRDefault="0054425B">
            <w:pPr>
              <w:pStyle w:val="Tabletext"/>
              <w:widowControl w:val="0"/>
              <w:ind w:left="-108"/>
              <w:rPr>
                <w:szCs w:val="20"/>
              </w:rPr>
            </w:pPr>
            <w:r>
              <w:rPr>
                <w:szCs w:val="20"/>
              </w:rPr>
              <w:t>Прочее</w:t>
            </w:r>
          </w:p>
        </w:tc>
        <w:tc>
          <w:tcPr>
            <w:tcW w:w="1701" w:type="dxa"/>
            <w:vAlign w:val="bottom"/>
          </w:tcPr>
          <w:p w:rsidR="00FD06F3" w:rsidRDefault="0054425B">
            <w:pPr>
              <w:pStyle w:val="Tabletext"/>
              <w:widowControl w:val="0"/>
              <w:jc w:val="right"/>
              <w:rPr>
                <w:szCs w:val="20"/>
              </w:rPr>
            </w:pPr>
            <w:r>
              <w:rPr>
                <w:szCs w:val="20"/>
              </w:rPr>
              <w:t>5</w:t>
            </w:r>
          </w:p>
        </w:tc>
      </w:tr>
    </w:tbl>
    <w:p w:rsidR="00FD06F3" w:rsidRDefault="00FD06F3">
      <w:pPr>
        <w:widowControl w:val="0"/>
      </w:pPr>
    </w:p>
    <w:p w:rsidR="00FD06F3" w:rsidRDefault="0054425B">
      <w:pPr>
        <w:widowControl w:val="0"/>
      </w:pPr>
      <w:r>
        <w:t>Земельные участки не амортизируются. Остаточная стоимость, сроки полезного использования и методы начисления амортизации активов анализируются в конце каждого отчетного года и корректируются по мере необходимости.</w:t>
      </w:r>
    </w:p>
    <w:p w:rsidR="00FD06F3" w:rsidRDefault="00FD06F3">
      <w:pPr>
        <w:widowControl w:val="0"/>
      </w:pPr>
    </w:p>
    <w:p w:rsidR="00FD06F3" w:rsidRDefault="0054425B">
      <w:pPr>
        <w:widowControl w:val="0"/>
      </w:pPr>
      <w:r>
        <w:t>Все прямые затраты, связанные со строител</w:t>
      </w:r>
      <w:r>
        <w:t>ьством объектов основных средств, включая заработную плату рабочих, стоимость сырья и материалов и другие затраты, относятся на увеличение стоимости основных средств. Также капитализируется и стоимость работ, связанных с увеличением срока полезного использ</w:t>
      </w:r>
      <w:r>
        <w:t>ования объектов основных средств. Расходы на ремонт и техническое обслуживание основных средств относятся на затраты по мере возникновения.</w:t>
      </w:r>
    </w:p>
    <w:p w:rsidR="00FD06F3" w:rsidRDefault="00FD06F3">
      <w:pPr>
        <w:widowControl w:val="0"/>
        <w:rPr>
          <w:highlight w:val="yellow"/>
        </w:rPr>
      </w:pPr>
      <w:bookmarkStart w:id="48" w:name="_Toc387743827"/>
    </w:p>
    <w:p w:rsidR="00FD06F3" w:rsidRDefault="0054425B">
      <w:pPr>
        <w:pStyle w:val="2"/>
      </w:pPr>
      <w:bookmarkStart w:id="49" w:name="_Toc387743828"/>
      <w:bookmarkEnd w:id="48"/>
      <w:r>
        <w:t>2.9</w:t>
      </w:r>
      <w:r>
        <w:tab/>
        <w:t>Инвестиционная недвижимость</w:t>
      </w:r>
      <w:bookmarkEnd w:id="49"/>
    </w:p>
    <w:p w:rsidR="00FD06F3" w:rsidRDefault="00FD06F3">
      <w:pPr>
        <w:widowControl w:val="0"/>
      </w:pPr>
    </w:p>
    <w:p w:rsidR="00FD06F3" w:rsidRDefault="0054425B">
      <w:pPr>
        <w:widowControl w:val="0"/>
      </w:pPr>
      <w:r>
        <w:t>Инвестиционная недвижимость оценивается по себестоимости. Переводы в категорию инв</w:t>
      </w:r>
      <w:r>
        <w:t xml:space="preserve">естиционной недвижимости либо из нее осуществляются тогда и только тогда, когда имеет место изменение в характере использования недвижимости. В случае, когда занимаемый собственником объект становится объектом инвестиционной недвижимости, Группа учитывает </w:t>
      </w:r>
      <w:r>
        <w:t>такую недвижимость в соответствии с политикой учета основных средств до момента изменения цели использования.</w:t>
      </w:r>
    </w:p>
    <w:p w:rsidR="00FD06F3" w:rsidRDefault="00FD06F3">
      <w:pPr>
        <w:widowControl w:val="0"/>
      </w:pPr>
    </w:p>
    <w:p w:rsidR="00FD06F3" w:rsidRDefault="0054425B">
      <w:pPr>
        <w:pStyle w:val="2"/>
      </w:pPr>
      <w:bookmarkStart w:id="50" w:name="_Toc387743829"/>
      <w:r>
        <w:t>2.10</w:t>
      </w:r>
      <w:r>
        <w:tab/>
        <w:t>Нематериальные активы</w:t>
      </w:r>
      <w:bookmarkEnd w:id="50"/>
    </w:p>
    <w:p w:rsidR="00FD06F3" w:rsidRDefault="00FD06F3">
      <w:pPr>
        <w:pStyle w:val="level4"/>
        <w:widowControl w:val="0"/>
        <w:spacing w:after="0"/>
      </w:pPr>
    </w:p>
    <w:p w:rsidR="00FD06F3" w:rsidRDefault="0054425B">
      <w:pPr>
        <w:pStyle w:val="level4"/>
        <w:widowControl w:val="0"/>
        <w:spacing w:after="0"/>
      </w:pPr>
      <w:r>
        <w:t>Торговые марки и лицензии</w:t>
      </w:r>
    </w:p>
    <w:p w:rsidR="00FD06F3" w:rsidRDefault="00FD06F3">
      <w:pPr>
        <w:widowControl w:val="0"/>
      </w:pPr>
    </w:p>
    <w:p w:rsidR="00FD06F3" w:rsidRDefault="0054425B">
      <w:pPr>
        <w:widowControl w:val="0"/>
      </w:pPr>
      <w:r>
        <w:t xml:space="preserve">Торговые марки и лицензии имеют определенные сроки полезного использования. Учет </w:t>
      </w:r>
      <w:r>
        <w:t>производится по первоначальной стоимости за вычетом накопленной амортизации. Амортизация рассчитывается линейным методом для равномерного распределения стоимости торговых марок и лицензий в течение срока их полезного использования, составляющего 5-10 лет.</w:t>
      </w:r>
    </w:p>
    <w:p w:rsidR="00FD06F3" w:rsidRDefault="00FD06F3">
      <w:pPr>
        <w:widowControl w:val="0"/>
      </w:pPr>
    </w:p>
    <w:p w:rsidR="00FD06F3" w:rsidRDefault="0054425B">
      <w:pPr>
        <w:pStyle w:val="level4"/>
        <w:widowControl w:val="0"/>
        <w:spacing w:after="0"/>
      </w:pPr>
      <w:r>
        <w:t>Программное обеспечение</w:t>
      </w:r>
    </w:p>
    <w:p w:rsidR="00FD06F3" w:rsidRDefault="00FD06F3">
      <w:pPr>
        <w:widowControl w:val="0"/>
      </w:pPr>
    </w:p>
    <w:p w:rsidR="00FD06F3" w:rsidRDefault="0054425B">
      <w:pPr>
        <w:widowControl w:val="0"/>
      </w:pPr>
      <w:r>
        <w:t>Приобретенные лицензии на программное обеспечение капитализируются на основе затрат, понесенных на приобретение и внедрение данного программного обеспечения. Данные расходы амортизируются в течение расчетных сроков их полезного ис</w:t>
      </w:r>
      <w:r>
        <w:t>пользования (от 3 до 5 лет). Расходы, связанные с разработкой и поддержкой программного обеспечения, признаются в составе расходов по мере их возникновения. Расходы, напрямую относящиеся к производству идентифицируемых и уникальных программных продуктов, к</w:t>
      </w:r>
      <w:r>
        <w:t>онтролируемых Группой, и которые вероятно принесут экономическую прибыль, превышающую затраты, уже через год, признаются нематериальными активами. Прямые расходы включают затраты на выплату заработной платы сотрудникам, разрабатывающим программное обеспече</w:t>
      </w:r>
      <w:r>
        <w:t>ние, а также приемлемую долю соответствующих накладных расходов. Расходы на разработку компьютерного программного обеспечения, признанного в составе активов, амортизируются в течение расчетных сроков полезного использования компьютерного программного обесп</w:t>
      </w:r>
      <w:r>
        <w:t>ечения (но не более пяти лет).</w:t>
      </w:r>
    </w:p>
    <w:p w:rsidR="00FD06F3" w:rsidRDefault="0054425B">
      <w:pPr>
        <w:pStyle w:val="13"/>
      </w:pPr>
      <w:bookmarkStart w:id="51" w:name="_Toc387743830"/>
      <w:r>
        <w:lastRenderedPageBreak/>
        <w:t>2.</w:t>
      </w:r>
      <w:r>
        <w:tab/>
        <w:t>ОСНОВНЫЕ ПОЛОЖЕНИЯ УЧЕТНОЙ ПОЛИТИКИ (</w:t>
      </w:r>
      <w:r>
        <w:rPr>
          <w:caps w:val="0"/>
        </w:rPr>
        <w:t>продолжение</w:t>
      </w:r>
      <w:r>
        <w:t>)</w:t>
      </w:r>
    </w:p>
    <w:p w:rsidR="00FD06F3" w:rsidRDefault="00FD06F3">
      <w:pPr>
        <w:pStyle w:val="2"/>
      </w:pPr>
    </w:p>
    <w:p w:rsidR="00FD06F3" w:rsidRDefault="0054425B">
      <w:pPr>
        <w:pStyle w:val="2"/>
      </w:pPr>
      <w:r>
        <w:t>2.11</w:t>
      </w:r>
      <w:r>
        <w:tab/>
        <w:t>Финансовые активы</w:t>
      </w:r>
      <w:bookmarkEnd w:id="51"/>
    </w:p>
    <w:p w:rsidR="00FD06F3" w:rsidRDefault="00FD06F3">
      <w:pPr>
        <w:widowControl w:val="0"/>
      </w:pPr>
    </w:p>
    <w:p w:rsidR="00FD06F3" w:rsidRDefault="0054425B">
      <w:pPr>
        <w:widowControl w:val="0"/>
      </w:pPr>
      <w:r>
        <w:t>В соответствии с МСФО (IAS) 39 финансовые активы классифицируются либо как финансовые активы, переоцениваемые по справедливой стоимости через прибы</w:t>
      </w:r>
      <w:r>
        <w:t xml:space="preserve">ль или убыток, займы, дебиторскую задолженность и инвестиции, удерживаемые до погашения, либо, в зависимости от обстоятельств, как финансовые активы, имеющиеся в наличии для продажи. </w:t>
      </w:r>
    </w:p>
    <w:p w:rsidR="00FD06F3" w:rsidRDefault="00FD06F3">
      <w:pPr>
        <w:widowControl w:val="0"/>
      </w:pPr>
    </w:p>
    <w:p w:rsidR="00FD06F3" w:rsidRDefault="0054425B">
      <w:pPr>
        <w:widowControl w:val="0"/>
      </w:pPr>
      <w:r>
        <w:t xml:space="preserve">Первоначально финансовые активы оцениваются по справедливой стоимости. </w:t>
      </w:r>
      <w:r>
        <w:t>В случае если инвестиции не классифицируются как финансовые активы, переоцениваемые по справедливой стоимости через прибыль или убыток, то при отражении в отчетности к их справедливой стоимости прибавляются непосредственно связанные с ними затраты по сделк</w:t>
      </w:r>
      <w:r>
        <w:t>е. После первоначального отражения в учете Группа присваивает своим финансовым активам соответствующую категорию и, если это возможно и целесообразно, в конце каждого финансового года проводит анализ таких активов на предмет пересмотра присвоенной им катег</w:t>
      </w:r>
      <w:r>
        <w:t>ории. Все стандартные операции по покупке и продаже финансовых активов признаются на дату сделки, т.е. на дату принятия Группой обязательства приобрести соответствующий актив. Стандартными операциями по покупке и продаже являются операции по покупке и прод</w:t>
      </w:r>
      <w:r>
        <w:t>аже финансовых активов, предусматривающие поставку активов в течение периода, установленного законодательством или обычаями рынка.</w:t>
      </w:r>
    </w:p>
    <w:p w:rsidR="00FD06F3" w:rsidRDefault="00FD06F3">
      <w:pPr>
        <w:widowControl w:val="0"/>
        <w:rPr>
          <w:i/>
          <w:iCs/>
        </w:rPr>
      </w:pPr>
    </w:p>
    <w:p w:rsidR="00FD06F3" w:rsidRDefault="0054425B">
      <w:pPr>
        <w:widowControl w:val="0"/>
        <w:autoSpaceDE w:val="0"/>
        <w:autoSpaceDN w:val="0"/>
        <w:adjustRightInd w:val="0"/>
        <w:rPr>
          <w:i/>
          <w:iCs/>
        </w:rPr>
      </w:pPr>
      <w:r>
        <w:rPr>
          <w:i/>
          <w:iCs/>
        </w:rPr>
        <w:t>Займы и дебиторская задолженность</w:t>
      </w:r>
    </w:p>
    <w:p w:rsidR="00FD06F3" w:rsidRDefault="00FD06F3">
      <w:pPr>
        <w:widowControl w:val="0"/>
      </w:pPr>
    </w:p>
    <w:p w:rsidR="00FD06F3" w:rsidRDefault="0054425B">
      <w:pPr>
        <w:widowControl w:val="0"/>
      </w:pPr>
      <w:r>
        <w:t>Займы и дебиторская задолженность представляют собой непроизводные финансовые активы с ус</w:t>
      </w:r>
      <w:r>
        <w:t xml:space="preserve">тановленными или определяемыми выплатами, которые не котируются на активном рынке. Последующая оценка займов и дебиторской задолженности осуществляется по амортизированной стоимости с применением метода эффективной процентной ставки за вычетом резерва под </w:t>
      </w:r>
      <w:r>
        <w:t>обесценение. Доходы и расходы признаются в отчете о прибылях и убытках в момент прекращения признания или обесценения займов и дебиторской задолженности, а также по мере начисления амортизации.</w:t>
      </w:r>
    </w:p>
    <w:p w:rsidR="00FD06F3" w:rsidRDefault="00FD06F3">
      <w:pPr>
        <w:widowControl w:val="0"/>
      </w:pPr>
    </w:p>
    <w:p w:rsidR="00FD06F3" w:rsidRDefault="0054425B">
      <w:pPr>
        <w:widowControl w:val="0"/>
        <w:autoSpaceDE w:val="0"/>
        <w:autoSpaceDN w:val="0"/>
        <w:adjustRightInd w:val="0"/>
        <w:rPr>
          <w:i/>
          <w:iCs/>
        </w:rPr>
      </w:pPr>
      <w:r>
        <w:rPr>
          <w:i/>
          <w:iCs/>
        </w:rPr>
        <w:t>Амортизированная стоимость</w:t>
      </w:r>
    </w:p>
    <w:p w:rsidR="00FD06F3" w:rsidRDefault="00FD06F3">
      <w:pPr>
        <w:widowControl w:val="0"/>
      </w:pPr>
    </w:p>
    <w:p w:rsidR="00FD06F3" w:rsidRDefault="0054425B">
      <w:pPr>
        <w:widowControl w:val="0"/>
      </w:pPr>
      <w:r>
        <w:t>Займы и дебиторская задолженность</w:t>
      </w:r>
      <w:r>
        <w:t xml:space="preserve"> оцениваются по амортизированной стоимости. Расчет производится с использованием метода эффективной ставки процента за вычетом резерва под обесценение. В расчете амортизированной стоимости учитываются имевшиеся при приобретении скидки или надбавки, сборы, </w:t>
      </w:r>
      <w:r>
        <w:t>являющиеся неотъемлемой частью эффективной ставки процента, и затраты по сделке.</w:t>
      </w:r>
    </w:p>
    <w:p w:rsidR="00FD06F3" w:rsidRDefault="00FD06F3">
      <w:pPr>
        <w:widowControl w:val="0"/>
      </w:pPr>
    </w:p>
    <w:p w:rsidR="00FD06F3" w:rsidRDefault="0054425B">
      <w:pPr>
        <w:widowControl w:val="0"/>
        <w:autoSpaceDE w:val="0"/>
        <w:autoSpaceDN w:val="0"/>
        <w:adjustRightInd w:val="0"/>
        <w:rPr>
          <w:i/>
          <w:iCs/>
        </w:rPr>
      </w:pPr>
      <w:r>
        <w:rPr>
          <w:i/>
          <w:iCs/>
        </w:rPr>
        <w:t>Обесценение финансовых активов</w:t>
      </w:r>
    </w:p>
    <w:p w:rsidR="00FD06F3" w:rsidRDefault="00FD06F3">
      <w:pPr>
        <w:widowControl w:val="0"/>
      </w:pPr>
    </w:p>
    <w:p w:rsidR="00FD06F3" w:rsidRDefault="0054425B">
      <w:pPr>
        <w:widowControl w:val="0"/>
        <w:autoSpaceDE w:val="0"/>
        <w:autoSpaceDN w:val="0"/>
        <w:adjustRightInd w:val="0"/>
      </w:pPr>
      <w:r>
        <w:t>На каждую отчетную дату Группа определяет наличие объективных признаков обесценения финансового актива или группы финансовых активов.</w:t>
      </w:r>
    </w:p>
    <w:p w:rsidR="00FD06F3" w:rsidRDefault="00FD06F3">
      <w:pPr>
        <w:widowControl w:val="0"/>
      </w:pPr>
    </w:p>
    <w:p w:rsidR="00FD06F3" w:rsidRDefault="0054425B">
      <w:pPr>
        <w:widowControl w:val="0"/>
      </w:pPr>
      <w:r>
        <w:t>В случае наличия объективных признаков понесения убытка в результате обесценения активов, отражаемых по амортизированной стоимости, сумма такого убытка определяется как разница между балансовой стоимостью актива и текущей стоимостью расчетных будущих денеж</w:t>
      </w:r>
      <w:r>
        <w:t>ных потоков (за исключением ожидаемых будущих потерь по кредиту, которые еще не были понесены), дисконтированных по эффективной ставке процента по финансовому активу (т.е. по эффективной ставке процента, рассчитанной при первоначальном признании). Балансов</w:t>
      </w:r>
      <w:r>
        <w:t>ая стоимость актива уменьшается на сумму резерва под обесценение. Сумма убытка отражается в составе прибыли или убытка. Если впоследствии происходит снижение суммы убытка от обесценения, которое может быть объективно отнесено к событию, произошедшему после</w:t>
      </w:r>
      <w:r>
        <w:t xml:space="preserve"> отражения в учете суммы убытка от обесценения, то ранее отраженная сумма убытка восстанавливается при условии, что на дату восстановления балансовая стоимость актива не превышает его амортизированную стоимость. Любое последующее восстановление убытка от о</w:t>
      </w:r>
      <w:r>
        <w:t xml:space="preserve">бесценения отражается в составе прибыли или убытка. </w:t>
      </w:r>
    </w:p>
    <w:p w:rsidR="00FD06F3" w:rsidRDefault="00FD06F3">
      <w:pPr>
        <w:widowControl w:val="0"/>
      </w:pPr>
    </w:p>
    <w:p w:rsidR="00FD06F3" w:rsidRDefault="0054425B">
      <w:pPr>
        <w:pStyle w:val="2"/>
      </w:pPr>
      <w:bookmarkStart w:id="52" w:name="_Toc387743832"/>
      <w:r>
        <w:t>2.12</w:t>
      </w:r>
      <w:r>
        <w:tab/>
        <w:t>Налог на прибыль</w:t>
      </w:r>
      <w:bookmarkEnd w:id="52"/>
    </w:p>
    <w:p w:rsidR="00FD06F3" w:rsidRDefault="00FD06F3">
      <w:pPr>
        <w:widowControl w:val="0"/>
      </w:pPr>
    </w:p>
    <w:p w:rsidR="00FD06F3" w:rsidRDefault="0054425B">
      <w:pPr>
        <w:widowControl w:val="0"/>
      </w:pPr>
      <w:r>
        <w:t>Расходы по налогу на прибыль включают в себя сумму текущего и отложенного налога. Сумма текущего налога рассчитывается исходя из ожидаемого налогооблагаемого годового дохода с исп</w:t>
      </w:r>
      <w:r>
        <w:t>ользованием налоговых ставок, действующих или по существу введенных в действие на отчетную дату, включая корректировки задолженности по налогу на прибыль за предыдущие годы.</w:t>
      </w:r>
    </w:p>
    <w:p w:rsidR="00FD06F3" w:rsidRDefault="0054425B">
      <w:pPr>
        <w:jc w:val="left"/>
      </w:pPr>
      <w:r>
        <w:br w:type="page"/>
      </w:r>
    </w:p>
    <w:p w:rsidR="00FD06F3" w:rsidRDefault="0054425B">
      <w:pPr>
        <w:pStyle w:val="13"/>
      </w:pPr>
      <w:r>
        <w:lastRenderedPageBreak/>
        <w:t>2.</w:t>
      </w:r>
      <w:r>
        <w:tab/>
        <w:t>ОСНОВНЫЕ ПОЛОЖЕНИЯ УЧЕТНОЙ ПОЛИТИКИ (</w:t>
      </w:r>
      <w:r>
        <w:rPr>
          <w:caps w:val="0"/>
        </w:rPr>
        <w:t>продолжение</w:t>
      </w:r>
      <w:r>
        <w:t>)</w:t>
      </w:r>
    </w:p>
    <w:p w:rsidR="00FD06F3" w:rsidRDefault="00FD06F3">
      <w:pPr>
        <w:widowControl w:val="0"/>
      </w:pPr>
    </w:p>
    <w:p w:rsidR="00FD06F3" w:rsidRDefault="0054425B">
      <w:pPr>
        <w:pStyle w:val="2"/>
      </w:pPr>
      <w:r>
        <w:t>2.12</w:t>
      </w:r>
      <w:r>
        <w:tab/>
        <w:t>Налог на прибыль (про</w:t>
      </w:r>
      <w:r>
        <w:t xml:space="preserve">должение) </w:t>
      </w:r>
    </w:p>
    <w:p w:rsidR="00FD06F3" w:rsidRDefault="00FD06F3">
      <w:pPr>
        <w:widowControl w:val="0"/>
      </w:pPr>
    </w:p>
    <w:p w:rsidR="00FD06F3" w:rsidRDefault="0054425B">
      <w:pPr>
        <w:widowControl w:val="0"/>
      </w:pPr>
      <w:r>
        <w:t>Отложенные налоги на прибыль отражаются по всем временным разницам между налоговой базой активов и обязательств и их балансовой стоимостью в финансовой отчетности, за исключением ситуаций, когда отложенные налоги возникают при первоначальном пр</w:t>
      </w:r>
      <w:r>
        <w:t>изнании гудвила либо актива или обязательства в результате операции, которая не является сделкой по объединению компаний и которая, в момент ее совершения, не оказывает влияния на учетную или налоговую прибыль или убыток.</w:t>
      </w:r>
    </w:p>
    <w:p w:rsidR="00FD06F3" w:rsidRDefault="00FD06F3">
      <w:pPr>
        <w:widowControl w:val="0"/>
      </w:pPr>
    </w:p>
    <w:p w:rsidR="00FD06F3" w:rsidRDefault="0054425B">
      <w:pPr>
        <w:widowControl w:val="0"/>
      </w:pPr>
      <w:r>
        <w:t>Отложенный налоговый актив призна</w:t>
      </w:r>
      <w:r>
        <w:t>ется только в той степени, в какой существует значительная вероятность получения налогооблагаемой прибыли, которая может быть уменьшена на сумму вычитаемых временных разниц. Отложенные налоговые активы и обязательства оцениваются по налоговым ставкам, кото</w:t>
      </w:r>
      <w:r>
        <w:t xml:space="preserve">рые как предполагается, будут применяться в отчетном периоде, когда актив будет реализован, а обязательство погашено, на основе налоговых ставок, (и налогового законодательства), которые по состоянию на отчетную дату были приняты или фактически приняты </w:t>
      </w:r>
    </w:p>
    <w:p w:rsidR="00FD06F3" w:rsidRDefault="00FD06F3">
      <w:pPr>
        <w:widowControl w:val="0"/>
      </w:pPr>
    </w:p>
    <w:p w:rsidR="00FD06F3" w:rsidRDefault="0054425B">
      <w:pPr>
        <w:widowControl w:val="0"/>
      </w:pPr>
      <w:bookmarkStart w:id="53" w:name="IAS_12__para_74"/>
      <w:r>
        <w:t>В</w:t>
      </w:r>
      <w:r>
        <w:t>заимозачет отложенных налоговых активов и обязательств возможен только в случаях, если:</w:t>
      </w:r>
      <w:bookmarkEnd w:id="53"/>
      <w:r>
        <w:t xml:space="preserve"> (a) компания в составе Группы вправе производить взаимозачет текущих налоговых активов против текущих налоговых обязательств; и (б) отложенные налоговые активы и отложе</w:t>
      </w:r>
      <w:r>
        <w:t>нные налоговые обязательства относятся к налогам на прибыль, взимаемым одним налоговым органом с: (i) одного субъекта налогообложения; или (ii) разных субъектов налогообложения, намеревающихся урегулировать текущие налоговые обязательства и активы на чисто</w:t>
      </w:r>
      <w:r>
        <w:t>й основе или реализовать активы одновременно с урегулированием обязательств в каждом последующем периоде, в котором существенные суммы отложенных налоговых обязательств или активов подлежат урегулированию или погашению.</w:t>
      </w:r>
    </w:p>
    <w:p w:rsidR="00FD06F3" w:rsidRDefault="00FD06F3">
      <w:pPr>
        <w:widowControl w:val="0"/>
      </w:pPr>
    </w:p>
    <w:p w:rsidR="00FD06F3" w:rsidRDefault="0054425B">
      <w:pPr>
        <w:widowControl w:val="0"/>
      </w:pPr>
      <w:r>
        <w:t>Отложенный налог на прибыль признае</w:t>
      </w:r>
      <w:r>
        <w:t>тся в отношении всех временных разниц, связанных с инвестициями в дочерние и ассоциированные компании, а также совместную деятельность, за исключением тех случаев, когда Группа контролирует сроки уменьшения временных разниц, и при этом существует значитель</w:t>
      </w:r>
      <w:r>
        <w:t>ная вероятность того, что временные разницы не будут уменьшены в обозримом будущем.</w:t>
      </w:r>
    </w:p>
    <w:p w:rsidR="00FD06F3" w:rsidRDefault="00FD06F3">
      <w:pPr>
        <w:widowControl w:val="0"/>
      </w:pPr>
    </w:p>
    <w:p w:rsidR="00FD06F3" w:rsidRDefault="0054425B">
      <w:pPr>
        <w:widowControl w:val="0"/>
      </w:pPr>
      <w:r>
        <w:t>Влияние изменения налоговых ставок отражается в составе прибыли или убытка, кроме случаев, когда оно относится к позициям, ранее дебетованным или кредитованным в состав пр</w:t>
      </w:r>
      <w:r>
        <w:t>очего совокупного дохода.</w:t>
      </w:r>
    </w:p>
    <w:p w:rsidR="00FD06F3" w:rsidRDefault="00FD06F3">
      <w:pPr>
        <w:widowControl w:val="0"/>
      </w:pPr>
    </w:p>
    <w:p w:rsidR="00FD06F3" w:rsidRDefault="0054425B">
      <w:pPr>
        <w:pStyle w:val="2"/>
      </w:pPr>
      <w:bookmarkStart w:id="54" w:name="_Toc387743835"/>
      <w:r>
        <w:t>2.13</w:t>
      </w:r>
      <w:r>
        <w:tab/>
        <w:t>Кредиты и займы</w:t>
      </w:r>
      <w:bookmarkEnd w:id="54"/>
    </w:p>
    <w:p w:rsidR="00FD06F3" w:rsidRDefault="00FD06F3">
      <w:pPr>
        <w:widowControl w:val="0"/>
      </w:pPr>
    </w:p>
    <w:p w:rsidR="00FD06F3" w:rsidRDefault="0054425B">
      <w:pPr>
        <w:widowControl w:val="0"/>
      </w:pPr>
      <w:r>
        <w:t xml:space="preserve">Кредиты и займы первоначально признаются по стоимости приобретения, соответствующей справедливой стоимости привлеченных средств (которая, в случае существенных расхождений со стоимостью сделки, определяется </w:t>
      </w:r>
      <w:r>
        <w:t>с использованием действующих рыночных процентных ставок для аналогичных инструментов) за вычетом расходов по их привлечению. В последующие периоды кредиты и займы учитываются по амортизированной стоимости с использованием метода эффективной доходности; люб</w:t>
      </w:r>
      <w:r>
        <w:t xml:space="preserve">ые разницы между справедливой стоимостью поступлений (за вычетом расходов на их привлечение) и стоимостью погашения отражаются в составе процентных расходов в течение периода, к которому относятся заимствования. </w:t>
      </w:r>
    </w:p>
    <w:p w:rsidR="00FD06F3" w:rsidRDefault="00FD06F3">
      <w:pPr>
        <w:widowControl w:val="0"/>
      </w:pPr>
    </w:p>
    <w:p w:rsidR="00FD06F3" w:rsidRDefault="0054425B">
      <w:pPr>
        <w:widowControl w:val="0"/>
      </w:pPr>
      <w:r>
        <w:t>Проценты по займам, полученным для финанси</w:t>
      </w:r>
      <w:r>
        <w:t>рования строительства основных средств, капитализируются в течение периода, необходимого для завершения строительства и подготовки объекта для предполагаемого использования. Все прочие затраты по кредитам и займам относятся на расходы.</w:t>
      </w:r>
    </w:p>
    <w:p w:rsidR="00FD06F3" w:rsidRDefault="00FD06F3">
      <w:pPr>
        <w:widowControl w:val="0"/>
        <w:rPr>
          <w:b/>
          <w:bCs/>
        </w:rPr>
      </w:pPr>
    </w:p>
    <w:p w:rsidR="00FD06F3" w:rsidRDefault="0054425B">
      <w:pPr>
        <w:pStyle w:val="2"/>
      </w:pPr>
      <w:bookmarkStart w:id="55" w:name="_Toc387743836"/>
      <w:r>
        <w:t>2.14</w:t>
      </w:r>
      <w:r>
        <w:tab/>
        <w:t>Аренда</w:t>
      </w:r>
      <w:bookmarkEnd w:id="55"/>
    </w:p>
    <w:p w:rsidR="00FD06F3" w:rsidRDefault="00FD06F3">
      <w:pPr>
        <w:widowControl w:val="0"/>
      </w:pPr>
    </w:p>
    <w:p w:rsidR="00FD06F3" w:rsidRDefault="0054425B">
      <w:pPr>
        <w:widowControl w:val="0"/>
      </w:pPr>
      <w:r>
        <w:t>Платежи при операционной аренде должны признаваться как расходы, распределенные равномерно в течение срока аренды.</w:t>
      </w:r>
    </w:p>
    <w:p w:rsidR="00FD06F3" w:rsidRDefault="00FD06F3">
      <w:pPr>
        <w:widowControl w:val="0"/>
      </w:pPr>
    </w:p>
    <w:p w:rsidR="00FD06F3" w:rsidRDefault="0054425B">
      <w:pPr>
        <w:pStyle w:val="2"/>
      </w:pPr>
      <w:bookmarkStart w:id="56" w:name="_Toc387743837"/>
      <w:r>
        <w:t>2.15</w:t>
      </w:r>
      <w:r>
        <w:tab/>
        <w:t>Прекращение признания финансовых активов и обязательств</w:t>
      </w:r>
      <w:bookmarkEnd w:id="56"/>
    </w:p>
    <w:p w:rsidR="00FD06F3" w:rsidRDefault="00FD06F3">
      <w:pPr>
        <w:widowControl w:val="0"/>
      </w:pPr>
    </w:p>
    <w:p w:rsidR="00FD06F3" w:rsidRDefault="0054425B">
      <w:pPr>
        <w:pStyle w:val="Text33"/>
        <w:widowControl w:val="0"/>
        <w:spacing w:after="0"/>
        <w:rPr>
          <w:i/>
          <w:iCs/>
        </w:rPr>
      </w:pPr>
      <w:r>
        <w:rPr>
          <w:i/>
          <w:iCs/>
        </w:rPr>
        <w:t>Финансовые активы</w:t>
      </w:r>
    </w:p>
    <w:p w:rsidR="00FD06F3" w:rsidRDefault="00FD06F3">
      <w:pPr>
        <w:widowControl w:val="0"/>
      </w:pPr>
    </w:p>
    <w:p w:rsidR="00FD06F3" w:rsidRDefault="0054425B">
      <w:pPr>
        <w:widowControl w:val="0"/>
      </w:pPr>
      <w:r>
        <w:t>Финансовый актив (или, где применимо – часть финансового ак</w:t>
      </w:r>
      <w:r>
        <w:t>тива или часть группы аналогичных финансовых активов) прекращает признаваться на балансе, если срок действия прав на получение денежных потоков от актива истек.</w:t>
      </w:r>
    </w:p>
    <w:p w:rsidR="00FD06F3" w:rsidRDefault="0054425B">
      <w:pPr>
        <w:pStyle w:val="13"/>
      </w:pPr>
      <w:r>
        <w:lastRenderedPageBreak/>
        <w:t>2.</w:t>
      </w:r>
      <w:r>
        <w:tab/>
        <w:t>ОСНОВНЫЕ ПОЛОЖЕНИЯ УЧЕТНОЙ ПОЛИТИКИ (</w:t>
      </w:r>
      <w:r>
        <w:rPr>
          <w:caps w:val="0"/>
        </w:rPr>
        <w:t>продолжение</w:t>
      </w:r>
      <w:r>
        <w:t>)</w:t>
      </w:r>
    </w:p>
    <w:p w:rsidR="00FD06F3" w:rsidRDefault="00FD06F3">
      <w:pPr>
        <w:pStyle w:val="2"/>
      </w:pPr>
    </w:p>
    <w:p w:rsidR="00FD06F3" w:rsidRDefault="0054425B">
      <w:pPr>
        <w:pStyle w:val="2"/>
      </w:pPr>
      <w:r>
        <w:t>2.15</w:t>
      </w:r>
      <w:r>
        <w:tab/>
        <w:t>Прекращение признания финансовых акт</w:t>
      </w:r>
      <w:r>
        <w:t xml:space="preserve">ивов и обязательств (продолжение) </w:t>
      </w:r>
    </w:p>
    <w:p w:rsidR="00FD06F3" w:rsidRDefault="00FD06F3">
      <w:pPr>
        <w:widowControl w:val="0"/>
        <w:rPr>
          <w:i/>
          <w:iCs/>
        </w:rPr>
      </w:pPr>
    </w:p>
    <w:p w:rsidR="00FD06F3" w:rsidRDefault="0054425B">
      <w:pPr>
        <w:pStyle w:val="Text33"/>
        <w:widowControl w:val="0"/>
        <w:spacing w:after="0"/>
        <w:rPr>
          <w:i/>
          <w:iCs/>
        </w:rPr>
      </w:pPr>
      <w:r>
        <w:rPr>
          <w:i/>
          <w:iCs/>
        </w:rPr>
        <w:t>Финансовые обязательства</w:t>
      </w:r>
    </w:p>
    <w:p w:rsidR="00FD06F3" w:rsidRDefault="00FD06F3">
      <w:pPr>
        <w:widowControl w:val="0"/>
      </w:pPr>
    </w:p>
    <w:p w:rsidR="00FD06F3" w:rsidRDefault="0054425B">
      <w:pPr>
        <w:widowControl w:val="0"/>
      </w:pPr>
      <w:r>
        <w:t>Снятие с учета финансового обязательства происходит в случае исполнения, отмены или истечения срока действия соответствующего обязательства. При замене одного существующего финансового обязатель</w:t>
      </w:r>
      <w:r>
        <w:t>ства другим обязательством перед тем же кредитором на существенно отличных условиях, или в случае внесения существенных изменений в условия существующего обязательства, первоначальное обязательство снимается с учета, а новое обязательство отражается в учет</w:t>
      </w:r>
      <w:r>
        <w:t>е с признанием разницы в балансовой стоимости обязательств в составе прибыли или убытка.</w:t>
      </w:r>
    </w:p>
    <w:p w:rsidR="00FD06F3" w:rsidRDefault="00FD06F3">
      <w:pPr>
        <w:widowControl w:val="0"/>
      </w:pPr>
    </w:p>
    <w:p w:rsidR="00FD06F3" w:rsidRDefault="0054425B">
      <w:pPr>
        <w:pStyle w:val="2"/>
      </w:pPr>
      <w:bookmarkStart w:id="57" w:name="_Toc387743838"/>
      <w:r>
        <w:t>2.16</w:t>
      </w:r>
      <w:r>
        <w:tab/>
        <w:t>Резервы</w:t>
      </w:r>
      <w:bookmarkEnd w:id="57"/>
    </w:p>
    <w:p w:rsidR="00FD06F3" w:rsidRDefault="00FD06F3">
      <w:pPr>
        <w:widowControl w:val="0"/>
      </w:pPr>
    </w:p>
    <w:p w:rsidR="00FD06F3" w:rsidRDefault="0054425B">
      <w:pPr>
        <w:widowControl w:val="0"/>
      </w:pPr>
      <w:r>
        <w:t>Резервы признаются, если Группа вследствие определенного события в прошлом имеет юридические или добровольно принятые на себя обязательства, для урегули</w:t>
      </w:r>
      <w:r>
        <w:t xml:space="preserve">рования которых с большой степенью вероятности потребуется отток ресурсов, и которые можно оценить с достаточной степенью надежности. </w:t>
      </w:r>
    </w:p>
    <w:p w:rsidR="00FD06F3" w:rsidRDefault="00FD06F3">
      <w:pPr>
        <w:widowControl w:val="0"/>
      </w:pPr>
    </w:p>
    <w:p w:rsidR="00FD06F3" w:rsidRDefault="0054425B">
      <w:pPr>
        <w:widowControl w:val="0"/>
      </w:pPr>
      <w:r>
        <w:t>Расходы, связанные с любым резервом, отражаются в составе прибыли или убытков. Если влияние временной стоимости денег су</w:t>
      </w:r>
      <w:r>
        <w:t>щественно, резервы дисконтируются по текущей ставке до налогообложения, которая отражает, когда это применимо, риски, характерные для конкретного обязательства. Если применяется дисконтирование, то увеличение резерва с течением времени признается в составе</w:t>
      </w:r>
      <w:r>
        <w:t xml:space="preserve"> затрат по финансированию.</w:t>
      </w:r>
    </w:p>
    <w:p w:rsidR="00FD06F3" w:rsidRDefault="00FD06F3">
      <w:pPr>
        <w:widowControl w:val="0"/>
      </w:pPr>
    </w:p>
    <w:p w:rsidR="00FD06F3" w:rsidRDefault="0054425B">
      <w:pPr>
        <w:pStyle w:val="2"/>
      </w:pPr>
      <w:bookmarkStart w:id="58" w:name="_Toc387743840"/>
      <w:r>
        <w:t>2.17</w:t>
      </w:r>
      <w:r>
        <w:tab/>
        <w:t>Признание доходов и расходов</w:t>
      </w:r>
      <w:bookmarkEnd w:id="58"/>
    </w:p>
    <w:p w:rsidR="00FD06F3" w:rsidRDefault="00FD06F3">
      <w:pPr>
        <w:widowControl w:val="0"/>
      </w:pPr>
    </w:p>
    <w:p w:rsidR="00FD06F3" w:rsidRDefault="0054425B">
      <w:pPr>
        <w:widowControl w:val="0"/>
      </w:pPr>
      <w:r>
        <w:t>Выручка признается в момент перехода права собственности к потребителю, при условии, что существует уверенность в ее получении, а цена реализации конечным потребителям установлена или может быт</w:t>
      </w:r>
      <w:r>
        <w:t>ь определена. Выручка определяется по справедливой стоимости полученного или подлежащего получению вознаграждения, за вычетом скидок и уступок.</w:t>
      </w:r>
    </w:p>
    <w:p w:rsidR="00FD06F3" w:rsidRDefault="00FD06F3">
      <w:pPr>
        <w:widowControl w:val="0"/>
      </w:pPr>
    </w:p>
    <w:p w:rsidR="00FD06F3" w:rsidRDefault="0054425B">
      <w:pPr>
        <w:pStyle w:val="2"/>
      </w:pPr>
      <w:bookmarkStart w:id="59" w:name="_Toc387743841"/>
      <w:r>
        <w:t>2.18</w:t>
      </w:r>
      <w:r>
        <w:tab/>
        <w:t>Вознаграждения работникам</w:t>
      </w:r>
      <w:bookmarkEnd w:id="59"/>
    </w:p>
    <w:p w:rsidR="00FD06F3" w:rsidRDefault="00FD06F3">
      <w:pPr>
        <w:widowControl w:val="0"/>
      </w:pPr>
    </w:p>
    <w:p w:rsidR="00FD06F3" w:rsidRDefault="0054425B">
      <w:pPr>
        <w:widowControl w:val="0"/>
      </w:pPr>
      <w:r>
        <w:t xml:space="preserve">В 2017 году Группа осуществляла начисление и перечисление страховых взносов </w:t>
      </w:r>
      <w:r>
        <w:t>(«СВ») в соответствии с положениями российского законодательства.</w:t>
      </w:r>
    </w:p>
    <w:p w:rsidR="00FD06F3" w:rsidRDefault="00FD06F3">
      <w:pPr>
        <w:widowControl w:val="0"/>
      </w:pPr>
    </w:p>
    <w:p w:rsidR="00FD06F3" w:rsidRDefault="0054425B">
      <w:pPr>
        <w:widowControl w:val="0"/>
      </w:pPr>
      <w:r>
        <w:t>СВ рассчитывались с применением ставки в размере 30% от суммы вознаграждения каждого работника до налогообложения, в том числе:</w:t>
      </w:r>
    </w:p>
    <w:p w:rsidR="00FD06F3" w:rsidRDefault="0054425B">
      <w:pPr>
        <w:pStyle w:val="ListParagraph"/>
        <w:widowControl w:val="0"/>
        <w:numPr>
          <w:ilvl w:val="0"/>
          <w:numId w:val="36"/>
        </w:numPr>
        <w:spacing w:before="120"/>
        <w:ind w:left="567" w:hanging="567"/>
        <w:jc w:val="both"/>
      </w:pPr>
      <w:r>
        <w:rPr>
          <w:rFonts w:ascii="Times New Roman" w:hAnsi="Times New Roman" w:cs="Times New Roman"/>
          <w:sz w:val="20"/>
          <w:szCs w:val="20"/>
        </w:rPr>
        <w:t>в Пенсионный фонд РФ 22% до достижения предельной суммы 876 т</w:t>
      </w:r>
      <w:r>
        <w:rPr>
          <w:rFonts w:ascii="Times New Roman" w:hAnsi="Times New Roman" w:cs="Times New Roman"/>
          <w:sz w:val="20"/>
          <w:szCs w:val="20"/>
        </w:rPr>
        <w:t xml:space="preserve">ыс. руб. с вознаграждения каждого работника, свыше 10%; </w:t>
      </w:r>
    </w:p>
    <w:p w:rsidR="00FD06F3" w:rsidRDefault="0054425B">
      <w:pPr>
        <w:pStyle w:val="ListParagraph"/>
        <w:widowControl w:val="0"/>
        <w:numPr>
          <w:ilvl w:val="0"/>
          <w:numId w:val="36"/>
        </w:numPr>
        <w:spacing w:before="120"/>
        <w:ind w:left="567" w:hanging="567"/>
        <w:jc w:val="both"/>
      </w:pPr>
      <w:r>
        <w:rPr>
          <w:rFonts w:ascii="Times New Roman" w:hAnsi="Times New Roman" w:cs="Times New Roman"/>
          <w:sz w:val="20"/>
          <w:szCs w:val="20"/>
        </w:rPr>
        <w:t>в Фонд социального страхования 2,9% до достижения суммы 755 тыс. руб.;</w:t>
      </w:r>
    </w:p>
    <w:p w:rsidR="00FD06F3" w:rsidRDefault="0054425B">
      <w:pPr>
        <w:pStyle w:val="ListParagraph"/>
        <w:widowControl w:val="0"/>
        <w:numPr>
          <w:ilvl w:val="0"/>
          <w:numId w:val="36"/>
        </w:numPr>
        <w:spacing w:before="120"/>
        <w:ind w:left="567" w:hanging="567"/>
        <w:jc w:val="both"/>
      </w:pPr>
      <w:r>
        <w:rPr>
          <w:rFonts w:ascii="Times New Roman" w:hAnsi="Times New Roman" w:cs="Times New Roman"/>
          <w:sz w:val="20"/>
          <w:szCs w:val="20"/>
        </w:rPr>
        <w:t xml:space="preserve">в Фонд обязательного медицинского страхования 5,1% без ограничения суммы вознаграждения. </w:t>
      </w:r>
    </w:p>
    <w:p w:rsidR="00FD06F3" w:rsidRDefault="00FD06F3">
      <w:pPr>
        <w:widowControl w:val="0"/>
      </w:pPr>
    </w:p>
    <w:p w:rsidR="00FD06F3" w:rsidRDefault="0054425B">
      <w:pPr>
        <w:widowControl w:val="0"/>
      </w:pPr>
      <w:r>
        <w:t>В 2017 году общие выплаты СВ составил</w:t>
      </w:r>
      <w:r>
        <w:t>и 347 922 тыс. руб. (2016 год: 316 575 тыс. руб.) и были классифицированы в настоящей консолидированной финансовой отчетности в качестве расходов на оплату труда.</w:t>
      </w:r>
    </w:p>
    <w:p w:rsidR="00FD06F3" w:rsidRDefault="00FD06F3">
      <w:pPr>
        <w:widowControl w:val="0"/>
      </w:pPr>
    </w:p>
    <w:p w:rsidR="00FD06F3" w:rsidRDefault="0054425B">
      <w:pPr>
        <w:widowControl w:val="0"/>
      </w:pPr>
      <w:r>
        <w:t>Компания также участвует в пенсионном плане с установленными выплатами, который предусматрив</w:t>
      </w:r>
      <w:r>
        <w:t xml:space="preserve">ает выплату фиксированной суммы ежегодной пенсии каждому работнику, вышедшему на пенсию. Соответствующие бухгалтерские затраты по пенсионному плану с установленными выплатами рассчитываются с использованием метода прогнозируемой условной единицы. Согласно </w:t>
      </w:r>
      <w:r>
        <w:t>данному методу, затраты на пенсионные выплаты относятся на прибыль с целью распределения затрат, понесенных в течение срока работы сотрудника на данном предприятии, в соответствии с условиями данного плана. Обязательства по пенсионным выплатам рассчитывали</w:t>
      </w:r>
      <w:r>
        <w:t>сь как приведенная стоимость будущего оттока денежных средств.</w:t>
      </w:r>
    </w:p>
    <w:p w:rsidR="00FD06F3" w:rsidRDefault="0054425B">
      <w:pPr>
        <w:jc w:val="left"/>
        <w:rPr>
          <w:b/>
          <w:caps/>
        </w:rPr>
      </w:pPr>
      <w:r>
        <w:br w:type="page"/>
      </w:r>
    </w:p>
    <w:p w:rsidR="00FD06F3" w:rsidRDefault="0054425B">
      <w:pPr>
        <w:pStyle w:val="13"/>
      </w:pPr>
      <w:r>
        <w:lastRenderedPageBreak/>
        <w:t>2.</w:t>
      </w:r>
      <w:r>
        <w:tab/>
        <w:t>ОСНОВНЫЕ ПОЛОЖЕНИЯ УЧЕТНОЙ ПОЛИТИКИ (</w:t>
      </w:r>
      <w:r>
        <w:rPr>
          <w:caps w:val="0"/>
        </w:rPr>
        <w:t>продолжение</w:t>
      </w:r>
      <w:r>
        <w:t>)</w:t>
      </w:r>
    </w:p>
    <w:p w:rsidR="00FD06F3" w:rsidRDefault="00FD06F3">
      <w:pPr>
        <w:widowControl w:val="0"/>
        <w:rPr>
          <w:b/>
          <w:bCs/>
        </w:rPr>
      </w:pPr>
    </w:p>
    <w:p w:rsidR="00FD06F3" w:rsidRDefault="0054425B">
      <w:pPr>
        <w:pStyle w:val="2"/>
      </w:pPr>
      <w:bookmarkStart w:id="60" w:name="_Toc387743842"/>
      <w:r>
        <w:t>2.19</w:t>
      </w:r>
      <w:r>
        <w:tab/>
        <w:t>Функциональная валюта и валюта представления финансовой отчетности</w:t>
      </w:r>
      <w:bookmarkEnd w:id="60"/>
    </w:p>
    <w:p w:rsidR="00FD06F3" w:rsidRDefault="00FD06F3">
      <w:pPr>
        <w:widowControl w:val="0"/>
      </w:pPr>
    </w:p>
    <w:p w:rsidR="00FD06F3" w:rsidRDefault="0054425B">
      <w:pPr>
        <w:widowControl w:val="0"/>
      </w:pPr>
      <w:r>
        <w:t>Консолидированная финансовая отчетность представлена в российски</w:t>
      </w:r>
      <w:r>
        <w:t>х рублях, которые являются функциональной валютой и валютой представления отчетности Группы.</w:t>
      </w:r>
    </w:p>
    <w:p w:rsidR="00FD06F3" w:rsidRDefault="00FD06F3">
      <w:pPr>
        <w:widowControl w:val="0"/>
        <w:rPr>
          <w:b/>
          <w:bCs/>
        </w:rPr>
      </w:pPr>
    </w:p>
    <w:p w:rsidR="00FD06F3" w:rsidRDefault="0054425B">
      <w:pPr>
        <w:pStyle w:val="2"/>
      </w:pPr>
      <w:bookmarkStart w:id="61" w:name="_Toc387743843"/>
      <w:r>
        <w:t>2.20</w:t>
      </w:r>
      <w:r>
        <w:tab/>
        <w:t>Операции в иностранной валюте</w:t>
      </w:r>
      <w:bookmarkEnd w:id="61"/>
    </w:p>
    <w:p w:rsidR="00FD06F3" w:rsidRDefault="00FD06F3">
      <w:pPr>
        <w:widowControl w:val="0"/>
      </w:pPr>
    </w:p>
    <w:p w:rsidR="00FD06F3" w:rsidRDefault="0054425B">
      <w:pPr>
        <w:widowControl w:val="0"/>
      </w:pPr>
      <w:r>
        <w:t>Денежные активы и обязательства Группы, выраженные в иностранной валюте, пересчитываются в рубли по курсу, действовавшему на д</w:t>
      </w:r>
      <w:r>
        <w:t xml:space="preserve">ату совершения операции. Операции в иностранной валюте учитываются на основании обменных курсов, действовавших на дату совершения операции. Доходы и расходы, возникающие в результате осуществления таких операций и в результате пересчета денежных активов и </w:t>
      </w:r>
      <w:r>
        <w:t>обязательств, выраженных в иностранной валюте, отражаются в составе прибылей и убытков.</w:t>
      </w:r>
    </w:p>
    <w:p w:rsidR="00FD06F3" w:rsidRDefault="00FD06F3">
      <w:pPr>
        <w:widowControl w:val="0"/>
      </w:pPr>
    </w:p>
    <w:p w:rsidR="00FD06F3" w:rsidRDefault="0054425B">
      <w:pPr>
        <w:pStyle w:val="2"/>
      </w:pPr>
      <w:bookmarkStart w:id="62" w:name="_Toc387743844"/>
      <w:r>
        <w:t>2.21</w:t>
      </w:r>
      <w:r>
        <w:tab/>
        <w:t>Уставный капитал, эмиссионный доход и добавочный капитал</w:t>
      </w:r>
      <w:bookmarkEnd w:id="62"/>
    </w:p>
    <w:p w:rsidR="00FD06F3" w:rsidRDefault="00FD06F3">
      <w:pPr>
        <w:widowControl w:val="0"/>
      </w:pPr>
    </w:p>
    <w:p w:rsidR="00FD06F3" w:rsidRDefault="0054425B">
      <w:pPr>
        <w:widowControl w:val="0"/>
      </w:pPr>
      <w:r>
        <w:t>Обыкновенные акции и не подлежащие погашению привилегированные акции, дивиденды по которым выплачиваются</w:t>
      </w:r>
      <w:r>
        <w:t xml:space="preserve"> по усмотрению эмитента, отражаются в составе капитала. Затраты на оплату услуг третьим сторонам, непосредственно связанные с выпуском новых акций, за исключением случаев объединения компаний, отражаются в составе капитала как уменьшение суммы, полученной </w:t>
      </w:r>
      <w:r>
        <w:t>в результате данной эмиссии. Сумма превышения справедливой стоимости полученных средств над номинальной стоимостью выпущенных акций отражается как эмиссионный доход. Взносы материнской компании в уставный капитал, кроме дополнительной эмиссии акций, класси</w:t>
      </w:r>
      <w:r>
        <w:t xml:space="preserve">фицируются как добавочный капитал в составе капитала. </w:t>
      </w:r>
    </w:p>
    <w:p w:rsidR="00FD06F3" w:rsidRDefault="00FD06F3">
      <w:pPr>
        <w:widowControl w:val="0"/>
      </w:pPr>
    </w:p>
    <w:p w:rsidR="00FD06F3" w:rsidRDefault="0054425B">
      <w:pPr>
        <w:pStyle w:val="2"/>
      </w:pPr>
      <w:bookmarkStart w:id="63" w:name="_Toc387743846"/>
      <w:r>
        <w:t>2.22</w:t>
      </w:r>
      <w:r>
        <w:tab/>
        <w:t>Дивиденды</w:t>
      </w:r>
      <w:bookmarkEnd w:id="63"/>
    </w:p>
    <w:p w:rsidR="00FD06F3" w:rsidRDefault="00FD06F3">
      <w:pPr>
        <w:widowControl w:val="0"/>
      </w:pPr>
    </w:p>
    <w:p w:rsidR="00FD06F3" w:rsidRDefault="0054425B">
      <w:pPr>
        <w:widowControl w:val="0"/>
      </w:pPr>
      <w:r>
        <w:t xml:space="preserve">Дивиденды признаются как обязательства и вычитаются из суммы капитала на отчетную дату только в том случае, если они были предложены или объявлены до отчетной даты включительно. </w:t>
      </w:r>
      <w:r>
        <w:t>Информация о дивидендах раскрывается в отчетности, если они были рекомендованы до отчетной даты, а также рекомендованы или объявлены после отчетной даты, но до даты утверждения консолидированной финансовой отчетности.</w:t>
      </w:r>
    </w:p>
    <w:p w:rsidR="00FD06F3" w:rsidRDefault="00FD06F3">
      <w:pPr>
        <w:widowControl w:val="0"/>
      </w:pPr>
    </w:p>
    <w:p w:rsidR="00FD06F3" w:rsidRDefault="0054425B">
      <w:pPr>
        <w:pStyle w:val="2"/>
      </w:pPr>
      <w:bookmarkStart w:id="64" w:name="_Toc387743847"/>
      <w:r>
        <w:t>2.23</w:t>
      </w:r>
      <w:r>
        <w:tab/>
        <w:t>Обесценение нефинансовых активов</w:t>
      </w:r>
      <w:bookmarkEnd w:id="64"/>
      <w:r>
        <w:t xml:space="preserve"> </w:t>
      </w:r>
    </w:p>
    <w:p w:rsidR="00FD06F3" w:rsidRDefault="00FD06F3">
      <w:pPr>
        <w:widowControl w:val="0"/>
      </w:pPr>
    </w:p>
    <w:p w:rsidR="00FD06F3" w:rsidRDefault="0054425B">
      <w:pPr>
        <w:widowControl w:val="0"/>
      </w:pPr>
      <w:r>
        <w:t>На каждую отчетную дату Группа оценивает актив на предмет наличия признаков возможного обесценения. Активы, подлежащие подобной оценке, включают в себя основные средства. Если подобные признаки имеют место, Группа проводит оценку возмещаемой суммы таког</w:t>
      </w:r>
      <w:r>
        <w:t xml:space="preserve">о актива. Возмещаемая сумма актива – это наибольшая величина из справедливой стоимости актива или подразделения, генерирующего денежные потоки, за вычетом затрат на продажу и его стоимости от использования. При этом такая сумма определяется для отдельного </w:t>
      </w:r>
      <w:r>
        <w:t>актива, за исключением случаев, когда актив не генерирует притоков денежных средств, которые в значительной степени независимы от генерируемых другими активами или группами активов. При превышении балансовой стоимости актива над возмещаемой суммой актив пр</w:t>
      </w:r>
      <w:r>
        <w:t>изнается обесцененным и подлежит списанию до возмещаемой суммы. При оценке стоимости от использования расчетные будущие денежные потоки приводятся к их текущей стоимости с использованием ставки дисконтирования до налогообложения, отражающей текущую рыночну</w:t>
      </w:r>
      <w:r>
        <w:t>ю оценку временной стоимости денег и рисков, относящихся к данным активам.</w:t>
      </w:r>
    </w:p>
    <w:p w:rsidR="00FD06F3" w:rsidRDefault="00FD06F3">
      <w:pPr>
        <w:widowControl w:val="0"/>
      </w:pPr>
    </w:p>
    <w:p w:rsidR="00FD06F3" w:rsidRDefault="0054425B">
      <w:pPr>
        <w:pStyle w:val="2"/>
      </w:pPr>
      <w:bookmarkStart w:id="65" w:name="_Toc387743848"/>
      <w:r>
        <w:t>2.24</w:t>
      </w:r>
      <w:r>
        <w:tab/>
        <w:t>Финансовые гарантии</w:t>
      </w:r>
      <w:bookmarkEnd w:id="65"/>
    </w:p>
    <w:p w:rsidR="00FD06F3" w:rsidRDefault="00FD06F3">
      <w:pPr>
        <w:widowControl w:val="0"/>
      </w:pPr>
    </w:p>
    <w:p w:rsidR="00FD06F3" w:rsidRDefault="0054425B">
      <w:pPr>
        <w:widowControl w:val="0"/>
      </w:pPr>
      <w:r>
        <w:t xml:space="preserve">Первоначально финансовые гарантии признаются по справедливой стоимости на дату начала срока действия гарантии. После первоначального признания финансовые </w:t>
      </w:r>
      <w:r>
        <w:t>гарантии оцениваются по наибольшей из двух величин: (i) наилучшей оценки затрат, необходимых для погашения существующего обязательства и (ii) первоначально признанной суммы за вычетом накопленной амортизации в течение срока действия гарантии.</w:t>
      </w:r>
    </w:p>
    <w:p w:rsidR="00FD06F3" w:rsidRDefault="0054425B">
      <w:pPr>
        <w:jc w:val="left"/>
        <w:rPr>
          <w:b/>
          <w:bCs/>
          <w:caps/>
        </w:rPr>
      </w:pPr>
      <w:bookmarkStart w:id="66" w:name="_Toc354762880"/>
      <w:bookmarkStart w:id="67" w:name="_Toc356225085"/>
      <w:bookmarkStart w:id="68" w:name="_Toc387743849"/>
      <w:bookmarkStart w:id="69" w:name="_Toc387743928"/>
      <w:r>
        <w:br w:type="page"/>
      </w:r>
    </w:p>
    <w:p w:rsidR="00FD06F3" w:rsidRDefault="0054425B">
      <w:pPr>
        <w:pStyle w:val="12"/>
      </w:pPr>
      <w:bookmarkStart w:id="70" w:name="_Toc512452516"/>
      <w:r>
        <w:lastRenderedPageBreak/>
        <w:t>3.</w:t>
      </w:r>
      <w:r>
        <w:tab/>
      </w:r>
      <w:r>
        <w:t>Существенные учетные суждения и оценки</w:t>
      </w:r>
      <w:bookmarkEnd w:id="66"/>
      <w:bookmarkEnd w:id="67"/>
      <w:bookmarkEnd w:id="68"/>
      <w:bookmarkEnd w:id="69"/>
      <w:bookmarkEnd w:id="70"/>
    </w:p>
    <w:p w:rsidR="00FD06F3" w:rsidRDefault="00FD06F3">
      <w:pPr>
        <w:widowControl w:val="0"/>
      </w:pPr>
    </w:p>
    <w:p w:rsidR="00FD06F3" w:rsidRDefault="0054425B">
      <w:pPr>
        <w:widowControl w:val="0"/>
      </w:pPr>
      <w:r>
        <w:t xml:space="preserve">Основные допущения о будущем и прочие основные источники неопределенности в оценках на отчетную дату, которые могут послужить причиной существенных корректировок балансовой стоимости активов и обязательств в течение </w:t>
      </w:r>
      <w:r>
        <w:t>следующего финансового года, рассматриваются ниже.</w:t>
      </w:r>
    </w:p>
    <w:p w:rsidR="00FD06F3" w:rsidRDefault="00FD06F3">
      <w:pPr>
        <w:widowControl w:val="0"/>
        <w:rPr>
          <w:i/>
          <w:iCs/>
        </w:rPr>
      </w:pPr>
    </w:p>
    <w:p w:rsidR="00FD06F3" w:rsidRDefault="0054425B">
      <w:pPr>
        <w:pStyle w:val="ABC-BulletsinNotes"/>
        <w:widowControl w:val="0"/>
        <w:tabs>
          <w:tab w:val="clear" w:pos="567"/>
          <w:tab w:val="clear" w:pos="851"/>
        </w:tabs>
        <w:spacing w:after="0"/>
        <w:ind w:left="0" w:firstLine="0"/>
        <w:rPr>
          <w:b/>
          <w:iCs/>
        </w:rPr>
      </w:pPr>
      <w:r>
        <w:rPr>
          <w:b/>
          <w:iCs/>
        </w:rPr>
        <w:t>Срок полезного использования основных средств</w:t>
      </w:r>
    </w:p>
    <w:p w:rsidR="00FD06F3" w:rsidRDefault="00FD06F3">
      <w:pPr>
        <w:widowControl w:val="0"/>
      </w:pPr>
    </w:p>
    <w:p w:rsidR="00FD06F3" w:rsidRDefault="0054425B">
      <w:pPr>
        <w:widowControl w:val="0"/>
      </w:pPr>
      <w:r>
        <w:t>Группа оценивает оставшийся срок полезного использования основных средств не менее одного раза в год в конце финансового года. В случае если ожидания отличаю</w:t>
      </w:r>
      <w:r>
        <w:t xml:space="preserve">тся от предыдущих оценок, изменения учитываются как изменения в учетных оценках в соответствии с МСФО (IAS) 8 </w:t>
      </w:r>
      <w:r>
        <w:rPr>
          <w:i/>
          <w:iCs/>
        </w:rPr>
        <w:t>«Учетная политика, изменения в учетных оценках и ошибки»</w:t>
      </w:r>
      <w:r>
        <w:t>. Указанные оценки могут иметь существенное влияние на балансовую стоимость основных средс</w:t>
      </w:r>
      <w:r>
        <w:t>тв и износ, признанный в составе прибылей или убытков.</w:t>
      </w:r>
    </w:p>
    <w:p w:rsidR="00FD06F3" w:rsidRDefault="00FD06F3">
      <w:pPr>
        <w:widowControl w:val="0"/>
      </w:pPr>
    </w:p>
    <w:p w:rsidR="00FD06F3" w:rsidRDefault="0054425B">
      <w:pPr>
        <w:widowControl w:val="0"/>
        <w:rPr>
          <w:b/>
        </w:rPr>
      </w:pPr>
      <w:r>
        <w:rPr>
          <w:b/>
          <w:iCs/>
        </w:rPr>
        <w:t>Обесценение нефинансовых активов</w:t>
      </w:r>
    </w:p>
    <w:p w:rsidR="00FD06F3" w:rsidRDefault="00FD06F3">
      <w:pPr>
        <w:widowControl w:val="0"/>
      </w:pPr>
    </w:p>
    <w:p w:rsidR="00FD06F3" w:rsidRDefault="0054425B">
      <w:pPr>
        <w:widowControl w:val="0"/>
      </w:pPr>
      <w:r>
        <w:t>Выявление обесценения предусматривает использование оценок, которые включают, в частности, причину, сроки и сумму обесценения. Определение возмещаемой суммы на уровне</w:t>
      </w:r>
      <w:r>
        <w:t xml:space="preserve"> подразделения, генерирующего денежные потоки, требует использования оценок руководства. Определение стоимости от использования включает методы, основанные на оценке ожидаемых будущих дисконтированных денежных потоков и требующие от Группы проведения оценк</w:t>
      </w:r>
      <w:r>
        <w:t>и таких потоков на уровне подразделения, генерирующего денежные потоки, а также выбора обоснованной ставки дисконтирования для расчета приведенной стоимости денежных потоков. Указанные оценки, включая использованную методологию, могут в существенной степен</w:t>
      </w:r>
      <w:r>
        <w:t xml:space="preserve">и повлиять на справедливую стоимость и, в конечном счете, на сумму обесценения основных средств. </w:t>
      </w:r>
    </w:p>
    <w:p w:rsidR="00FD06F3" w:rsidRDefault="00FD06F3">
      <w:pPr>
        <w:widowControl w:val="0"/>
      </w:pPr>
    </w:p>
    <w:p w:rsidR="00FD06F3" w:rsidRDefault="0054425B">
      <w:pPr>
        <w:widowControl w:val="0"/>
      </w:pPr>
      <w:r>
        <w:t xml:space="preserve">Обесценение основных средств основывается на анализе значительного числа факторов, таких как изменения в текущих условиях конкуренции, ожидаемые темпы роста </w:t>
      </w:r>
      <w:r>
        <w:t>в отрасли, увеличение стоимости капитала, изменения в возможностях привлечения финансирования в будущем, технологическое устаревание, прекращение обслуживания, текущая стоимость замещения и прочие изменения в обстоятельствах, указывающие на наличие обесцен</w:t>
      </w:r>
      <w:r>
        <w:t xml:space="preserve">ения. </w:t>
      </w:r>
    </w:p>
    <w:p w:rsidR="00FD06F3" w:rsidRDefault="00FD06F3">
      <w:pPr>
        <w:widowControl w:val="0"/>
      </w:pPr>
    </w:p>
    <w:p w:rsidR="00FD06F3" w:rsidRDefault="0054425B">
      <w:pPr>
        <w:widowControl w:val="0"/>
        <w:rPr>
          <w:b/>
          <w:iCs/>
        </w:rPr>
      </w:pPr>
      <w:r>
        <w:rPr>
          <w:b/>
          <w:iCs/>
        </w:rPr>
        <w:t xml:space="preserve">Резерв под списание стоимости запасов до чистой стоимости реализации </w:t>
      </w:r>
    </w:p>
    <w:p w:rsidR="00FD06F3" w:rsidRDefault="00FD06F3">
      <w:pPr>
        <w:widowControl w:val="0"/>
      </w:pPr>
    </w:p>
    <w:p w:rsidR="00FD06F3" w:rsidRDefault="0054425B">
      <w:pPr>
        <w:widowControl w:val="0"/>
      </w:pPr>
      <w:r>
        <w:t xml:space="preserve">Группа определяет размер резервов под списание стоимости запасов до чистой стоимости реализации на основе ожидаемой в будущем стоимости от использования и стоимости реализации. </w:t>
      </w:r>
      <w:r>
        <w:t>Чистая стоимость реализации представляет собой ожидаемую цену продажи в ходе обычной деятельности за вычетом ожидаемых затрат по реализации или дистрибуции. Цены продажи и затраты по реализации могут изменяться по мере поступления новой информации. Пересмо</w:t>
      </w:r>
      <w:r>
        <w:t>тр таких оценок может оказать существенное влияние на будущие результаты операционной деятельности.</w:t>
      </w:r>
    </w:p>
    <w:p w:rsidR="00FD06F3" w:rsidRDefault="00FD06F3">
      <w:pPr>
        <w:widowControl w:val="0"/>
        <w:rPr>
          <w:i/>
          <w:iCs/>
        </w:rPr>
      </w:pPr>
    </w:p>
    <w:p w:rsidR="00FD06F3" w:rsidRDefault="0054425B">
      <w:pPr>
        <w:pStyle w:val="ABC-BulletsinNotes"/>
        <w:widowControl w:val="0"/>
        <w:tabs>
          <w:tab w:val="clear" w:pos="567"/>
          <w:tab w:val="clear" w:pos="851"/>
        </w:tabs>
        <w:spacing w:after="0"/>
        <w:ind w:left="0" w:firstLine="0"/>
        <w:rPr>
          <w:b/>
          <w:iCs/>
        </w:rPr>
      </w:pPr>
      <w:r>
        <w:rPr>
          <w:b/>
          <w:iCs/>
        </w:rPr>
        <w:t>Текущие налоги</w:t>
      </w:r>
    </w:p>
    <w:p w:rsidR="00FD06F3" w:rsidRDefault="00FD06F3">
      <w:pPr>
        <w:widowControl w:val="0"/>
      </w:pPr>
    </w:p>
    <w:p w:rsidR="00FD06F3" w:rsidRDefault="0054425B">
      <w:pPr>
        <w:widowControl w:val="0"/>
      </w:pPr>
      <w:r>
        <w:t>Российское налоговое, валютное и таможенное законодательство допускает различные толкования и подвержено частым изменениям. Интерпретация н</w:t>
      </w:r>
      <w:r>
        <w:t>алогового законодательства налоговыми органами применительно к операциям и деятельности Группы может не совпадать с мнением руководства Группы. Как следствие, налоговые органы могут предъявить претензии по сделкам и начислить Группе значительные дополнител</w:t>
      </w:r>
      <w:r>
        <w:t xml:space="preserve">ьные налоги, пени и штрафы. Проверки со стороны налоговых и таможенных органов на предмет наличия налоговых обязательств могут охватывать три календарных года деятельности, непосредственно предшествовавшие году проверки. При определенных условиях проверке </w:t>
      </w:r>
      <w:r>
        <w:t>могут быть подвергнуты и более ранние периоды. По мнению руководства, по состоянию на 31 декабря 2017 г. соответствующие положения законодательства интерпретированы корректно, и вероятность сохранения положения, в котором находится Группа в связи с налогов</w:t>
      </w:r>
      <w:r>
        <w:t xml:space="preserve">ым, валютным и таможенным законодательством, является высокой. Подробная информация представлена в Примечании 20. </w:t>
      </w:r>
    </w:p>
    <w:p w:rsidR="00FD06F3" w:rsidRDefault="00FD06F3">
      <w:pPr>
        <w:widowControl w:val="0"/>
      </w:pPr>
    </w:p>
    <w:p w:rsidR="00FD06F3" w:rsidRDefault="0054425B">
      <w:pPr>
        <w:jc w:val="left"/>
        <w:rPr>
          <w:b/>
          <w:bCs/>
          <w:caps/>
        </w:rPr>
      </w:pPr>
      <w:bookmarkStart w:id="71" w:name="_Toc354762881"/>
      <w:bookmarkStart w:id="72" w:name="_Toc356225086"/>
      <w:bookmarkStart w:id="73" w:name="_Toc387743851"/>
      <w:bookmarkStart w:id="74" w:name="_Toc387743929"/>
      <w:r>
        <w:br w:type="page"/>
      </w:r>
    </w:p>
    <w:p w:rsidR="00FD06F3" w:rsidRDefault="0054425B">
      <w:pPr>
        <w:pStyle w:val="12"/>
      </w:pPr>
      <w:bookmarkStart w:id="75" w:name="_Toc512452517"/>
      <w:r>
        <w:lastRenderedPageBreak/>
        <w:t>4.</w:t>
      </w:r>
      <w:r>
        <w:tab/>
        <w:t>Инвестиционная недвижимость</w:t>
      </w:r>
      <w:bookmarkEnd w:id="71"/>
      <w:bookmarkEnd w:id="72"/>
      <w:bookmarkEnd w:id="73"/>
      <w:bookmarkEnd w:id="74"/>
      <w:bookmarkEnd w:id="75"/>
      <w:r>
        <w:t xml:space="preserve"> </w:t>
      </w:r>
    </w:p>
    <w:p w:rsidR="00FD06F3" w:rsidRDefault="00FD06F3">
      <w:pPr>
        <w:widowControl w:val="0"/>
      </w:pPr>
    </w:p>
    <w:p w:rsidR="00FD06F3" w:rsidRDefault="0054425B">
      <w:pPr>
        <w:widowControl w:val="0"/>
      </w:pPr>
      <w:r>
        <w:t>В декабре 2005 года руководство приняло решение использовать земельный участок в центре Москвы, на которо</w:t>
      </w:r>
      <w:r>
        <w:t>м раньше размещались производственные мощности Группы и откуда они были перенесены на новый участок, для целей получения дохода от его реализации по цене выше балансовой стоимости. Соответственно, балансовая стоимость земельного участка была классифицирова</w:t>
      </w:r>
      <w:r>
        <w:t>на как инвестиционная недвижимость. До момента планируемой реализации инвестиционная недвижимость передана в пользование связанной стороне и сдается в аренду, держателями контрактов на аренду являются связанные стороны.</w:t>
      </w:r>
    </w:p>
    <w:p w:rsidR="00FD06F3" w:rsidRDefault="00FD06F3">
      <w:pPr>
        <w:widowControl w:val="0"/>
      </w:pPr>
    </w:p>
    <w:p w:rsidR="00FD06F3" w:rsidRDefault="0054425B">
      <w:pPr>
        <w:widowControl w:val="0"/>
      </w:pPr>
      <w:r>
        <w:t xml:space="preserve">По состоянию на 31 декабря 2017 г. </w:t>
      </w:r>
      <w:r>
        <w:t>справедливая стоимость инвестиционной недвижимости Группы составляет от 5 000 000 тыс. руб. до 9 000 000 тыс. руб. Более точная оценка была невозможна вследствие недостаточного объема данных о рынке недвижимого имущества, параметров застройки и сравнительн</w:t>
      </w:r>
      <w:r>
        <w:t>ой информации, поскольку ситуация на российском рынке коммерческой недвижимости продолжает меняться.</w:t>
      </w:r>
    </w:p>
    <w:p w:rsidR="00FD06F3" w:rsidRDefault="00FD06F3">
      <w:pPr>
        <w:widowControl w:val="0"/>
      </w:pPr>
    </w:p>
    <w:p w:rsidR="00FD06F3" w:rsidRDefault="0054425B">
      <w:pPr>
        <w:widowControl w:val="0"/>
      </w:pPr>
      <w:r>
        <w:t>Группа подписала соглашение со связанной стороной о том, что инвестиционная недвижимость будет продана через данную связанную сторону по цене, равной сумм</w:t>
      </w:r>
      <w:r>
        <w:t>е:</w:t>
      </w:r>
    </w:p>
    <w:p w:rsidR="00FD06F3" w:rsidRDefault="0054425B">
      <w:pPr>
        <w:widowControl w:val="0"/>
        <w:numPr>
          <w:ilvl w:val="0"/>
          <w:numId w:val="15"/>
        </w:numPr>
        <w:tabs>
          <w:tab w:val="clear" w:pos="1080"/>
        </w:tabs>
        <w:spacing w:before="120"/>
        <w:ind w:left="567" w:hanging="567"/>
      </w:pPr>
      <w:r>
        <w:t>балансовой стоимости земельного участка в размере 168 780 тыс. руб.;</w:t>
      </w:r>
    </w:p>
    <w:p w:rsidR="00FD06F3" w:rsidRDefault="0054425B">
      <w:pPr>
        <w:widowControl w:val="0"/>
        <w:numPr>
          <w:ilvl w:val="0"/>
          <w:numId w:val="15"/>
        </w:numPr>
        <w:tabs>
          <w:tab w:val="clear" w:pos="1080"/>
        </w:tabs>
        <w:spacing w:before="120"/>
        <w:ind w:left="567" w:hanging="567"/>
      </w:pPr>
      <w:r>
        <w:t xml:space="preserve">непогашенной суммы основного долга в размере 798 036 тыс. руб. по долгосрочной задолженности связанной стороны по финансированию проекта «Золотой остров»; и </w:t>
      </w:r>
    </w:p>
    <w:p w:rsidR="00FD06F3" w:rsidRDefault="0054425B">
      <w:pPr>
        <w:widowControl w:val="0"/>
        <w:numPr>
          <w:ilvl w:val="0"/>
          <w:numId w:val="15"/>
        </w:numPr>
        <w:tabs>
          <w:tab w:val="clear" w:pos="1080"/>
        </w:tabs>
        <w:spacing w:before="120"/>
        <w:ind w:left="567" w:hanging="567"/>
      </w:pPr>
      <w:r>
        <w:t>начисленных процентов к по</w:t>
      </w:r>
      <w:r>
        <w:t>лучению на 31 декабря 2017 г. в сумме 857 077 тыс. руб. (Примечание 18.9).</w:t>
      </w:r>
    </w:p>
    <w:p w:rsidR="00FD06F3" w:rsidRDefault="00FD06F3">
      <w:pPr>
        <w:widowControl w:val="0"/>
      </w:pPr>
    </w:p>
    <w:p w:rsidR="00FD06F3" w:rsidRDefault="00FD06F3">
      <w:pPr>
        <w:widowControl w:val="0"/>
      </w:pPr>
    </w:p>
    <w:p w:rsidR="00FD06F3" w:rsidRDefault="0054425B">
      <w:pPr>
        <w:widowControl w:val="0"/>
      </w:pPr>
      <w:r>
        <w:t xml:space="preserve">Инвестиционная недвижимость сдается в аренду, держателями контрактов на аренду являются связанные стороны. </w:t>
      </w:r>
    </w:p>
    <w:p w:rsidR="00FD06F3" w:rsidRDefault="00FD06F3">
      <w:pPr>
        <w:widowControl w:val="0"/>
      </w:pPr>
    </w:p>
    <w:p w:rsidR="00FD06F3" w:rsidRDefault="00FD06F3">
      <w:pPr>
        <w:jc w:val="left"/>
        <w:rPr>
          <w:b/>
          <w:bCs/>
          <w:caps/>
        </w:rPr>
      </w:pPr>
    </w:p>
    <w:p w:rsidR="00FD06F3" w:rsidRDefault="0054425B">
      <w:pPr>
        <w:pStyle w:val="12"/>
      </w:pPr>
      <w:bookmarkStart w:id="76" w:name="_Toc455592548"/>
      <w:bookmarkStart w:id="77" w:name="_Toc451420527"/>
      <w:bookmarkStart w:id="78" w:name="_Toc420926590"/>
      <w:bookmarkStart w:id="79" w:name="_Toc512452518"/>
      <w:r>
        <w:t xml:space="preserve">5. </w:t>
      </w:r>
      <w:r>
        <w:tab/>
        <w:t>Инвестиции, предназначенные для продажи и инвестиции в ассоцииров</w:t>
      </w:r>
      <w:r>
        <w:t>анные компании</w:t>
      </w:r>
      <w:bookmarkEnd w:id="76"/>
      <w:bookmarkEnd w:id="77"/>
      <w:bookmarkEnd w:id="78"/>
      <w:bookmarkEnd w:id="79"/>
      <w:r>
        <w:t xml:space="preserve"> </w:t>
      </w:r>
    </w:p>
    <w:p w:rsidR="00FD06F3" w:rsidRDefault="00FD06F3">
      <w:pPr>
        <w:widowControl w:val="0"/>
        <w:tabs>
          <w:tab w:val="left" w:pos="708"/>
        </w:tabs>
        <w:rPr>
          <w:sz w:val="18"/>
        </w:rPr>
      </w:pPr>
    </w:p>
    <w:p w:rsidR="00FD06F3" w:rsidRDefault="0054425B">
      <w:pPr>
        <w:widowControl w:val="0"/>
        <w:tabs>
          <w:tab w:val="left" w:pos="708"/>
        </w:tabs>
      </w:pPr>
      <w:r>
        <w:t>В 2016 году Группа приобрела 27,58% долю участия в капитале своей связанной стороны, холдинговой компании, владеющей неконтрольной долей участия в другой связанной стороне». Приобретение было первоначально отражено по методу долевого участия. Приобретенная</w:t>
      </w:r>
      <w:r>
        <w:t xml:space="preserve"> доля в чистых активах ассоциированной компании не превышала уплаченное вознаграждение. Справедливая стоимость инвестиции существенно не менялась с даты приобретения до 31 декабря 2016 г. </w:t>
      </w:r>
    </w:p>
    <w:p w:rsidR="00FD06F3" w:rsidRDefault="00FD06F3">
      <w:pPr>
        <w:widowControl w:val="0"/>
        <w:tabs>
          <w:tab w:val="left" w:pos="708"/>
        </w:tabs>
      </w:pPr>
    </w:p>
    <w:p w:rsidR="00FD06F3" w:rsidRDefault="0054425B">
      <w:pPr>
        <w:widowControl w:val="0"/>
        <w:tabs>
          <w:tab w:val="left" w:pos="708"/>
        </w:tabs>
      </w:pPr>
      <w:r>
        <w:t>В конце 2017 года ассоциированная компания осуществила дополнитель</w:t>
      </w:r>
      <w:r>
        <w:t>ную эмиссию акций, покупку которых Группа не осуществляла. В связи с этим фактом доля Группы в ассоциированной компании сократилась до 20,61%.</w:t>
      </w:r>
    </w:p>
    <w:p w:rsidR="00FD06F3" w:rsidRDefault="00FD06F3">
      <w:pPr>
        <w:widowControl w:val="0"/>
        <w:tabs>
          <w:tab w:val="left" w:pos="708"/>
        </w:tabs>
        <w:rPr>
          <w:b/>
          <w:bCs/>
          <w:caps/>
          <w:highlight w:val="yellow"/>
        </w:rPr>
      </w:pPr>
    </w:p>
    <w:p w:rsidR="00FD06F3" w:rsidRDefault="0054425B">
      <w:pPr>
        <w:widowControl w:val="0"/>
        <w:tabs>
          <w:tab w:val="left" w:pos="708"/>
        </w:tabs>
      </w:pPr>
      <w:r>
        <w:t>В связи с сокращением доли в ассоциированную компании до 20,61% в конце 2017 года и анализе характера инвестиции</w:t>
      </w:r>
      <w:r>
        <w:t xml:space="preserve"> было принято решение об отсутствии существенного влияния на данную компанию и об учете в качестве инвестиции, предназначенной для продажи. Так как переклассификация была выполнена на конец отчетного года, доля финансового результата ассоциированной компан</w:t>
      </w:r>
      <w:r>
        <w:t>ии отражена в консолидированном  отчете о совокупном доходе.</w:t>
      </w:r>
    </w:p>
    <w:p w:rsidR="00FD06F3" w:rsidRDefault="00FD06F3">
      <w:pPr>
        <w:widowControl w:val="0"/>
        <w:tabs>
          <w:tab w:val="left" w:pos="708"/>
        </w:tabs>
      </w:pPr>
    </w:p>
    <w:p w:rsidR="00FD06F3" w:rsidRDefault="0054425B">
      <w:pPr>
        <w:jc w:val="left"/>
        <w:rPr>
          <w:b/>
          <w:bCs/>
          <w:caps/>
        </w:rPr>
      </w:pPr>
      <w:bookmarkStart w:id="80" w:name="_Toc354762882"/>
      <w:bookmarkStart w:id="81" w:name="_Toc356225087"/>
      <w:bookmarkStart w:id="82" w:name="_Toc387743852"/>
      <w:bookmarkStart w:id="83" w:name="_Toc387743930"/>
      <w:r>
        <w:br w:type="page"/>
      </w:r>
    </w:p>
    <w:p w:rsidR="00FD06F3" w:rsidRDefault="0054425B">
      <w:pPr>
        <w:pStyle w:val="12"/>
      </w:pPr>
      <w:bookmarkStart w:id="84" w:name="_Toc512452519"/>
      <w:r>
        <w:lastRenderedPageBreak/>
        <w:t>6.</w:t>
      </w:r>
      <w:r>
        <w:tab/>
        <w:t>Основные средства</w:t>
      </w:r>
      <w:bookmarkEnd w:id="80"/>
      <w:bookmarkEnd w:id="81"/>
      <w:bookmarkEnd w:id="82"/>
      <w:bookmarkEnd w:id="83"/>
      <w:bookmarkEnd w:id="84"/>
      <w:r>
        <w:t xml:space="preserve"> </w:t>
      </w:r>
    </w:p>
    <w:p w:rsidR="00FD06F3" w:rsidRDefault="00FD06F3">
      <w:pPr>
        <w:pStyle w:val="Text33"/>
        <w:widowControl w:val="0"/>
        <w:spacing w:after="0"/>
        <w:rPr>
          <w:sz w:val="18"/>
        </w:rPr>
      </w:pPr>
    </w:p>
    <w:p w:rsidR="00FD06F3" w:rsidRDefault="0054425B">
      <w:pPr>
        <w:pStyle w:val="Text33"/>
        <w:widowControl w:val="0"/>
        <w:spacing w:after="0"/>
      </w:pPr>
      <w:r>
        <w:t xml:space="preserve">Движение основных средств с 1 января по 31 декабря 2017 г. представлено ниже: </w:t>
      </w:r>
    </w:p>
    <w:p w:rsidR="00FD06F3" w:rsidRDefault="00FD06F3">
      <w:pPr>
        <w:widowControl w:val="0"/>
        <w:rPr>
          <w:sz w:val="18"/>
        </w:rPr>
      </w:pPr>
    </w:p>
    <w:tbl>
      <w:tblPr>
        <w:tblW w:w="9639" w:type="dxa"/>
        <w:jc w:val="center"/>
        <w:tblLayout w:type="fixed"/>
        <w:tblLook w:val="0000" w:firstRow="0" w:lastRow="0" w:firstColumn="0" w:lastColumn="0" w:noHBand="0" w:noVBand="0"/>
      </w:tblPr>
      <w:tblGrid>
        <w:gridCol w:w="2835"/>
        <w:gridCol w:w="1134"/>
        <w:gridCol w:w="1134"/>
        <w:gridCol w:w="1134"/>
        <w:gridCol w:w="1134"/>
        <w:gridCol w:w="1134"/>
        <w:gridCol w:w="1134"/>
      </w:tblGrid>
      <w:tr w:rsidR="00FD06F3">
        <w:trPr>
          <w:trHeight w:val="23"/>
          <w:jc w:val="center"/>
        </w:trPr>
        <w:tc>
          <w:tcPr>
            <w:tcW w:w="2835" w:type="dxa"/>
            <w:vAlign w:val="bottom"/>
          </w:tcPr>
          <w:p w:rsidR="00FD06F3" w:rsidRDefault="00FD06F3">
            <w:pPr>
              <w:pStyle w:val="Tabletext"/>
              <w:widowControl w:val="0"/>
              <w:ind w:left="5" w:right="-108" w:hanging="113"/>
              <w:jc w:val="left"/>
            </w:pPr>
          </w:p>
        </w:tc>
        <w:tc>
          <w:tcPr>
            <w:tcW w:w="1134" w:type="dxa"/>
            <w:tcBorders>
              <w:bottom w:val="single" w:sz="6" w:space="0" w:color="auto"/>
            </w:tcBorders>
            <w:vAlign w:val="bottom"/>
          </w:tcPr>
          <w:p w:rsidR="00FD06F3" w:rsidRDefault="0054425B">
            <w:pPr>
              <w:pStyle w:val="Tabletext"/>
              <w:widowControl w:val="0"/>
              <w:ind w:left="-108" w:right="-108"/>
              <w:jc w:val="center"/>
              <w:rPr>
                <w:b/>
                <w:bCs/>
              </w:rPr>
            </w:pPr>
            <w:r>
              <w:rPr>
                <w:b/>
                <w:bCs/>
              </w:rPr>
              <w:t>Земля</w:t>
            </w:r>
          </w:p>
        </w:tc>
        <w:tc>
          <w:tcPr>
            <w:tcW w:w="1134" w:type="dxa"/>
            <w:tcBorders>
              <w:bottom w:val="single" w:sz="6" w:space="0" w:color="auto"/>
            </w:tcBorders>
            <w:vAlign w:val="bottom"/>
          </w:tcPr>
          <w:p w:rsidR="00FD06F3" w:rsidRDefault="0054425B">
            <w:pPr>
              <w:pStyle w:val="Tabletext"/>
              <w:widowControl w:val="0"/>
              <w:ind w:left="-108" w:right="-108"/>
              <w:jc w:val="center"/>
              <w:rPr>
                <w:b/>
                <w:bCs/>
              </w:rPr>
            </w:pPr>
            <w:r>
              <w:rPr>
                <w:b/>
                <w:bCs/>
              </w:rPr>
              <w:t>Здания и сооружения</w:t>
            </w:r>
          </w:p>
        </w:tc>
        <w:tc>
          <w:tcPr>
            <w:tcW w:w="1134" w:type="dxa"/>
            <w:tcBorders>
              <w:bottom w:val="single" w:sz="6" w:space="0" w:color="auto"/>
            </w:tcBorders>
            <w:vAlign w:val="bottom"/>
          </w:tcPr>
          <w:p w:rsidR="00FD06F3" w:rsidRDefault="0054425B">
            <w:pPr>
              <w:pStyle w:val="Tabletext"/>
              <w:widowControl w:val="0"/>
              <w:ind w:left="-108" w:right="-108"/>
              <w:jc w:val="center"/>
              <w:rPr>
                <w:b/>
                <w:bCs/>
              </w:rPr>
            </w:pPr>
            <w:r>
              <w:rPr>
                <w:b/>
                <w:bCs/>
              </w:rPr>
              <w:t>Машины и оборудование</w:t>
            </w:r>
          </w:p>
        </w:tc>
        <w:tc>
          <w:tcPr>
            <w:tcW w:w="1134" w:type="dxa"/>
            <w:tcBorders>
              <w:bottom w:val="single" w:sz="6" w:space="0" w:color="auto"/>
            </w:tcBorders>
            <w:vAlign w:val="bottom"/>
          </w:tcPr>
          <w:p w:rsidR="00FD06F3" w:rsidRDefault="0054425B">
            <w:pPr>
              <w:pStyle w:val="Tabletext"/>
              <w:widowControl w:val="0"/>
              <w:ind w:left="-108" w:right="-108"/>
              <w:jc w:val="center"/>
              <w:rPr>
                <w:b/>
                <w:bCs/>
              </w:rPr>
            </w:pPr>
            <w:r>
              <w:rPr>
                <w:b/>
                <w:bCs/>
              </w:rPr>
              <w:t>Прочее</w:t>
            </w:r>
          </w:p>
        </w:tc>
        <w:tc>
          <w:tcPr>
            <w:tcW w:w="1134" w:type="dxa"/>
            <w:tcBorders>
              <w:bottom w:val="single" w:sz="6" w:space="0" w:color="auto"/>
            </w:tcBorders>
            <w:vAlign w:val="bottom"/>
          </w:tcPr>
          <w:p w:rsidR="00FD06F3" w:rsidRDefault="0054425B">
            <w:pPr>
              <w:pStyle w:val="Tabletext"/>
              <w:widowControl w:val="0"/>
              <w:ind w:left="-108" w:right="-108"/>
              <w:jc w:val="center"/>
              <w:rPr>
                <w:b/>
                <w:bCs/>
              </w:rPr>
            </w:pPr>
            <w:r>
              <w:rPr>
                <w:b/>
                <w:bCs/>
              </w:rPr>
              <w:t>Незавер-шенное строи-тельство</w:t>
            </w:r>
          </w:p>
        </w:tc>
        <w:tc>
          <w:tcPr>
            <w:tcW w:w="1134" w:type="dxa"/>
            <w:tcBorders>
              <w:bottom w:val="single" w:sz="6" w:space="0" w:color="auto"/>
            </w:tcBorders>
            <w:vAlign w:val="bottom"/>
          </w:tcPr>
          <w:p w:rsidR="00FD06F3" w:rsidRDefault="0054425B">
            <w:pPr>
              <w:pStyle w:val="Tabletext"/>
              <w:widowControl w:val="0"/>
              <w:ind w:left="-108" w:right="-108"/>
              <w:jc w:val="center"/>
              <w:rPr>
                <w:b/>
                <w:bCs/>
              </w:rPr>
            </w:pPr>
            <w:r>
              <w:rPr>
                <w:b/>
                <w:bCs/>
              </w:rPr>
              <w:t>Итого</w:t>
            </w:r>
          </w:p>
        </w:tc>
      </w:tr>
      <w:tr w:rsidR="00FD06F3">
        <w:trPr>
          <w:trHeight w:val="23"/>
          <w:jc w:val="center"/>
        </w:trPr>
        <w:tc>
          <w:tcPr>
            <w:tcW w:w="2835" w:type="dxa"/>
            <w:vAlign w:val="bottom"/>
          </w:tcPr>
          <w:p w:rsidR="00FD06F3" w:rsidRDefault="0054425B">
            <w:pPr>
              <w:pStyle w:val="Tabletext"/>
              <w:widowControl w:val="0"/>
              <w:ind w:left="5" w:right="-108" w:hanging="113"/>
              <w:jc w:val="left"/>
              <w:rPr>
                <w:b/>
                <w:bCs/>
              </w:rPr>
            </w:pPr>
            <w:r>
              <w:rPr>
                <w:b/>
                <w:bCs/>
              </w:rPr>
              <w:t>Общая балансовая стоимость</w:t>
            </w:r>
          </w:p>
        </w:tc>
        <w:tc>
          <w:tcPr>
            <w:tcW w:w="1134" w:type="dxa"/>
            <w:tcBorders>
              <w:top w:val="single" w:sz="6" w:space="0" w:color="auto"/>
            </w:tcBorders>
            <w:vAlign w:val="bottom"/>
          </w:tcPr>
          <w:p w:rsidR="00FD06F3" w:rsidRDefault="00FD06F3">
            <w:pPr>
              <w:pStyle w:val="Tabletext"/>
              <w:widowControl w:val="0"/>
              <w:tabs>
                <w:tab w:val="decimal" w:pos="794"/>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794"/>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794"/>
              </w:tabs>
              <w:jc w:val="left"/>
            </w:pPr>
          </w:p>
        </w:tc>
        <w:tc>
          <w:tcPr>
            <w:tcW w:w="1134" w:type="dxa"/>
            <w:tcBorders>
              <w:top w:val="single" w:sz="6" w:space="0" w:color="auto"/>
            </w:tcBorders>
            <w:vAlign w:val="bottom"/>
          </w:tcPr>
          <w:p w:rsidR="00FD06F3" w:rsidRDefault="00FD06F3">
            <w:pPr>
              <w:pStyle w:val="Tabletext"/>
              <w:widowControl w:val="0"/>
              <w:tabs>
                <w:tab w:val="decimal" w:pos="794"/>
              </w:tabs>
              <w:jc w:val="left"/>
            </w:pPr>
          </w:p>
        </w:tc>
        <w:tc>
          <w:tcPr>
            <w:tcW w:w="1134" w:type="dxa"/>
            <w:tcBorders>
              <w:top w:val="single" w:sz="6" w:space="0" w:color="auto"/>
            </w:tcBorders>
            <w:vAlign w:val="bottom"/>
          </w:tcPr>
          <w:p w:rsidR="00FD06F3" w:rsidRDefault="00FD06F3">
            <w:pPr>
              <w:pStyle w:val="Tabletext"/>
              <w:widowControl w:val="0"/>
              <w:tabs>
                <w:tab w:val="decimal" w:pos="794"/>
              </w:tabs>
              <w:jc w:val="left"/>
            </w:pPr>
          </w:p>
        </w:tc>
        <w:tc>
          <w:tcPr>
            <w:tcW w:w="1134" w:type="dxa"/>
            <w:tcBorders>
              <w:top w:val="single" w:sz="6" w:space="0" w:color="auto"/>
            </w:tcBorders>
            <w:vAlign w:val="bottom"/>
          </w:tcPr>
          <w:p w:rsidR="00FD06F3" w:rsidRDefault="00FD06F3">
            <w:pPr>
              <w:pStyle w:val="Tabletext"/>
              <w:widowControl w:val="0"/>
              <w:tabs>
                <w:tab w:val="decimal" w:pos="794"/>
              </w:tabs>
              <w:jc w:val="left"/>
            </w:pPr>
          </w:p>
        </w:tc>
      </w:tr>
      <w:tr w:rsidR="00FD06F3">
        <w:trPr>
          <w:trHeight w:val="23"/>
          <w:jc w:val="center"/>
        </w:trPr>
        <w:tc>
          <w:tcPr>
            <w:tcW w:w="2835" w:type="dxa"/>
            <w:vAlign w:val="bottom"/>
          </w:tcPr>
          <w:p w:rsidR="00FD06F3" w:rsidRDefault="0054425B">
            <w:pPr>
              <w:pStyle w:val="Tabletext"/>
              <w:widowControl w:val="0"/>
              <w:ind w:left="5" w:right="-108" w:hanging="113"/>
              <w:jc w:val="left"/>
              <w:rPr>
                <w:b/>
                <w:bCs/>
              </w:rPr>
            </w:pPr>
            <w:r>
              <w:rPr>
                <w:b/>
                <w:bCs/>
              </w:rPr>
              <w:t>На 1 января 2017 г.</w:t>
            </w:r>
          </w:p>
        </w:tc>
        <w:tc>
          <w:tcPr>
            <w:tcW w:w="1134" w:type="dxa"/>
            <w:vAlign w:val="bottom"/>
          </w:tcPr>
          <w:p w:rsidR="00FD06F3" w:rsidRDefault="0054425B">
            <w:pPr>
              <w:widowControl w:val="0"/>
              <w:tabs>
                <w:tab w:val="decimal" w:pos="837"/>
              </w:tabs>
              <w:jc w:val="left"/>
              <w:rPr>
                <w:b/>
                <w:sz w:val="18"/>
                <w:szCs w:val="18"/>
              </w:rPr>
            </w:pPr>
            <w:r>
              <w:rPr>
                <w:b/>
                <w:sz w:val="18"/>
                <w:szCs w:val="18"/>
              </w:rPr>
              <w:t>11 108</w:t>
            </w:r>
          </w:p>
        </w:tc>
        <w:tc>
          <w:tcPr>
            <w:tcW w:w="1134" w:type="dxa"/>
            <w:vAlign w:val="bottom"/>
          </w:tcPr>
          <w:p w:rsidR="00FD06F3" w:rsidRDefault="0054425B">
            <w:pPr>
              <w:widowControl w:val="0"/>
              <w:tabs>
                <w:tab w:val="decimal" w:pos="837"/>
              </w:tabs>
              <w:jc w:val="left"/>
              <w:rPr>
                <w:b/>
                <w:sz w:val="18"/>
                <w:szCs w:val="18"/>
              </w:rPr>
            </w:pPr>
            <w:r>
              <w:rPr>
                <w:b/>
                <w:sz w:val="18"/>
                <w:szCs w:val="18"/>
              </w:rPr>
              <w:t>3 585 866</w:t>
            </w:r>
          </w:p>
        </w:tc>
        <w:tc>
          <w:tcPr>
            <w:tcW w:w="1134" w:type="dxa"/>
            <w:vAlign w:val="bottom"/>
          </w:tcPr>
          <w:p w:rsidR="00FD06F3" w:rsidRDefault="0054425B">
            <w:pPr>
              <w:widowControl w:val="0"/>
              <w:tabs>
                <w:tab w:val="decimal" w:pos="837"/>
              </w:tabs>
              <w:jc w:val="left"/>
              <w:rPr>
                <w:b/>
                <w:sz w:val="18"/>
                <w:szCs w:val="18"/>
              </w:rPr>
            </w:pPr>
            <w:r>
              <w:rPr>
                <w:b/>
                <w:sz w:val="18"/>
                <w:szCs w:val="18"/>
              </w:rPr>
              <w:t>5 265 755</w:t>
            </w:r>
          </w:p>
        </w:tc>
        <w:tc>
          <w:tcPr>
            <w:tcW w:w="1134" w:type="dxa"/>
            <w:vAlign w:val="bottom"/>
          </w:tcPr>
          <w:p w:rsidR="00FD06F3" w:rsidRDefault="0054425B">
            <w:pPr>
              <w:widowControl w:val="0"/>
              <w:tabs>
                <w:tab w:val="decimal" w:pos="837"/>
              </w:tabs>
              <w:jc w:val="left"/>
              <w:rPr>
                <w:b/>
                <w:sz w:val="18"/>
                <w:szCs w:val="18"/>
              </w:rPr>
            </w:pPr>
            <w:r>
              <w:rPr>
                <w:b/>
                <w:sz w:val="18"/>
                <w:szCs w:val="18"/>
              </w:rPr>
              <w:t>339 189</w:t>
            </w:r>
          </w:p>
        </w:tc>
        <w:tc>
          <w:tcPr>
            <w:tcW w:w="1134" w:type="dxa"/>
            <w:vAlign w:val="bottom"/>
          </w:tcPr>
          <w:p w:rsidR="00FD06F3" w:rsidRDefault="0054425B">
            <w:pPr>
              <w:widowControl w:val="0"/>
              <w:tabs>
                <w:tab w:val="decimal" w:pos="837"/>
              </w:tabs>
              <w:jc w:val="left"/>
              <w:rPr>
                <w:b/>
                <w:sz w:val="18"/>
                <w:szCs w:val="18"/>
              </w:rPr>
            </w:pPr>
            <w:r>
              <w:rPr>
                <w:b/>
                <w:sz w:val="18"/>
                <w:szCs w:val="18"/>
              </w:rPr>
              <w:t>441 940</w:t>
            </w:r>
          </w:p>
        </w:tc>
        <w:tc>
          <w:tcPr>
            <w:tcW w:w="1134" w:type="dxa"/>
            <w:vAlign w:val="bottom"/>
          </w:tcPr>
          <w:p w:rsidR="00FD06F3" w:rsidRDefault="0054425B">
            <w:pPr>
              <w:widowControl w:val="0"/>
              <w:tabs>
                <w:tab w:val="decimal" w:pos="837"/>
              </w:tabs>
              <w:jc w:val="left"/>
              <w:rPr>
                <w:b/>
                <w:sz w:val="18"/>
                <w:szCs w:val="18"/>
              </w:rPr>
            </w:pPr>
            <w:r>
              <w:rPr>
                <w:b/>
                <w:sz w:val="18"/>
                <w:szCs w:val="18"/>
              </w:rPr>
              <w:t>9 643 858</w:t>
            </w:r>
          </w:p>
        </w:tc>
      </w:tr>
      <w:tr w:rsidR="00FD06F3">
        <w:trPr>
          <w:trHeight w:val="23"/>
          <w:jc w:val="center"/>
        </w:trPr>
        <w:tc>
          <w:tcPr>
            <w:tcW w:w="2835" w:type="dxa"/>
            <w:vAlign w:val="bottom"/>
          </w:tcPr>
          <w:p w:rsidR="00FD06F3" w:rsidRDefault="0054425B">
            <w:pPr>
              <w:pStyle w:val="Tabletext"/>
              <w:widowControl w:val="0"/>
              <w:ind w:left="5" w:right="-108" w:hanging="113"/>
              <w:jc w:val="left"/>
            </w:pPr>
            <w:r>
              <w:t>Поступления</w:t>
            </w:r>
          </w:p>
        </w:tc>
        <w:tc>
          <w:tcPr>
            <w:tcW w:w="1134" w:type="dxa"/>
            <w:shd w:val="clear" w:color="auto" w:fill="auto"/>
            <w:vAlign w:val="bottom"/>
          </w:tcPr>
          <w:p w:rsidR="00FD06F3" w:rsidRDefault="0054425B">
            <w:pPr>
              <w:pStyle w:val="Tabletext"/>
              <w:widowControl w:val="0"/>
              <w:tabs>
                <w:tab w:val="decimal" w:pos="837"/>
              </w:tabs>
              <w:jc w:val="left"/>
            </w:pPr>
            <w:r>
              <w:t>–</w:t>
            </w:r>
          </w:p>
        </w:tc>
        <w:tc>
          <w:tcPr>
            <w:tcW w:w="1134" w:type="dxa"/>
            <w:shd w:val="clear" w:color="auto" w:fill="auto"/>
            <w:vAlign w:val="bottom"/>
          </w:tcPr>
          <w:p w:rsidR="00FD06F3" w:rsidRDefault="0054425B">
            <w:pPr>
              <w:pStyle w:val="Tabletext"/>
              <w:widowControl w:val="0"/>
              <w:tabs>
                <w:tab w:val="decimal" w:pos="837"/>
              </w:tabs>
              <w:jc w:val="left"/>
            </w:pPr>
            <w:r>
              <w:t>–</w:t>
            </w:r>
          </w:p>
        </w:tc>
        <w:tc>
          <w:tcPr>
            <w:tcW w:w="1134" w:type="dxa"/>
            <w:shd w:val="clear" w:color="auto" w:fill="auto"/>
            <w:vAlign w:val="bottom"/>
          </w:tcPr>
          <w:p w:rsidR="00FD06F3" w:rsidRDefault="0054425B">
            <w:pPr>
              <w:pStyle w:val="Tabletext"/>
              <w:widowControl w:val="0"/>
              <w:tabs>
                <w:tab w:val="decimal" w:pos="837"/>
              </w:tabs>
              <w:jc w:val="left"/>
            </w:pPr>
            <w:r>
              <w:t>–</w:t>
            </w:r>
          </w:p>
        </w:tc>
        <w:tc>
          <w:tcPr>
            <w:tcW w:w="1134" w:type="dxa"/>
            <w:shd w:val="clear" w:color="auto" w:fill="auto"/>
            <w:vAlign w:val="bottom"/>
          </w:tcPr>
          <w:p w:rsidR="00FD06F3" w:rsidRDefault="0054425B">
            <w:pPr>
              <w:pStyle w:val="Tabletext"/>
              <w:widowControl w:val="0"/>
              <w:tabs>
                <w:tab w:val="decimal" w:pos="837"/>
              </w:tabs>
              <w:jc w:val="left"/>
            </w:pPr>
            <w:r>
              <w:t>–</w:t>
            </w:r>
          </w:p>
        </w:tc>
        <w:tc>
          <w:tcPr>
            <w:tcW w:w="1134" w:type="dxa"/>
            <w:shd w:val="clear" w:color="auto" w:fill="auto"/>
            <w:vAlign w:val="bottom"/>
          </w:tcPr>
          <w:p w:rsidR="00FD06F3" w:rsidRDefault="0054425B">
            <w:pPr>
              <w:widowControl w:val="0"/>
              <w:tabs>
                <w:tab w:val="decimal" w:pos="837"/>
              </w:tabs>
              <w:jc w:val="left"/>
              <w:rPr>
                <w:sz w:val="18"/>
                <w:szCs w:val="18"/>
              </w:rPr>
            </w:pPr>
            <w:r>
              <w:rPr>
                <w:sz w:val="18"/>
                <w:szCs w:val="18"/>
              </w:rPr>
              <w:t>89 259</w:t>
            </w:r>
          </w:p>
        </w:tc>
        <w:tc>
          <w:tcPr>
            <w:tcW w:w="1134" w:type="dxa"/>
            <w:shd w:val="clear" w:color="auto" w:fill="auto"/>
            <w:vAlign w:val="bottom"/>
          </w:tcPr>
          <w:p w:rsidR="00FD06F3" w:rsidRDefault="0054425B">
            <w:pPr>
              <w:widowControl w:val="0"/>
              <w:tabs>
                <w:tab w:val="decimal" w:pos="837"/>
              </w:tabs>
              <w:jc w:val="left"/>
              <w:rPr>
                <w:b/>
                <w:sz w:val="18"/>
                <w:szCs w:val="18"/>
              </w:rPr>
            </w:pPr>
            <w:r>
              <w:rPr>
                <w:b/>
                <w:sz w:val="18"/>
                <w:szCs w:val="18"/>
              </w:rPr>
              <w:t>89 259</w:t>
            </w:r>
          </w:p>
        </w:tc>
      </w:tr>
      <w:tr w:rsidR="00FD06F3">
        <w:trPr>
          <w:trHeight w:val="23"/>
          <w:jc w:val="center"/>
        </w:trPr>
        <w:tc>
          <w:tcPr>
            <w:tcW w:w="2835" w:type="dxa"/>
            <w:vAlign w:val="bottom"/>
          </w:tcPr>
          <w:p w:rsidR="00FD06F3" w:rsidRDefault="0054425B">
            <w:pPr>
              <w:pStyle w:val="Tabletext"/>
              <w:widowControl w:val="0"/>
              <w:ind w:left="5" w:right="-108" w:hanging="113"/>
              <w:jc w:val="left"/>
            </w:pPr>
            <w:r>
              <w:t>Выбытия</w:t>
            </w:r>
          </w:p>
        </w:tc>
        <w:tc>
          <w:tcPr>
            <w:tcW w:w="1134" w:type="dxa"/>
            <w:vAlign w:val="bottom"/>
          </w:tcPr>
          <w:p w:rsidR="00FD06F3" w:rsidRDefault="0054425B">
            <w:pPr>
              <w:pStyle w:val="Tabletext"/>
              <w:widowControl w:val="0"/>
              <w:tabs>
                <w:tab w:val="decimal" w:pos="837"/>
              </w:tabs>
              <w:jc w:val="left"/>
            </w:pPr>
            <w:r>
              <w:t>–</w:t>
            </w:r>
          </w:p>
        </w:tc>
        <w:tc>
          <w:tcPr>
            <w:tcW w:w="1134" w:type="dxa"/>
            <w:vAlign w:val="bottom"/>
          </w:tcPr>
          <w:p w:rsidR="00FD06F3" w:rsidRDefault="0054425B">
            <w:pPr>
              <w:pStyle w:val="Tabletext"/>
              <w:widowControl w:val="0"/>
              <w:tabs>
                <w:tab w:val="decimal" w:pos="837"/>
              </w:tabs>
              <w:jc w:val="left"/>
            </w:pPr>
            <w:r>
              <w:t>(257)</w:t>
            </w:r>
          </w:p>
        </w:tc>
        <w:tc>
          <w:tcPr>
            <w:tcW w:w="1134" w:type="dxa"/>
            <w:vAlign w:val="bottom"/>
          </w:tcPr>
          <w:p w:rsidR="00FD06F3" w:rsidRDefault="0054425B">
            <w:pPr>
              <w:tabs>
                <w:tab w:val="decimal" w:pos="837"/>
              </w:tabs>
              <w:jc w:val="left"/>
              <w:rPr>
                <w:sz w:val="18"/>
                <w:szCs w:val="18"/>
              </w:rPr>
            </w:pPr>
            <w:r>
              <w:rPr>
                <w:sz w:val="18"/>
                <w:szCs w:val="18"/>
              </w:rPr>
              <w:t>(11 865)</w:t>
            </w:r>
          </w:p>
        </w:tc>
        <w:tc>
          <w:tcPr>
            <w:tcW w:w="1134" w:type="dxa"/>
            <w:vAlign w:val="bottom"/>
          </w:tcPr>
          <w:p w:rsidR="00FD06F3" w:rsidRDefault="0054425B">
            <w:pPr>
              <w:tabs>
                <w:tab w:val="decimal" w:pos="837"/>
              </w:tabs>
              <w:jc w:val="left"/>
              <w:rPr>
                <w:sz w:val="18"/>
                <w:szCs w:val="18"/>
              </w:rPr>
            </w:pPr>
            <w:r>
              <w:rPr>
                <w:sz w:val="18"/>
                <w:szCs w:val="18"/>
              </w:rPr>
              <w:t>(9 269)</w:t>
            </w:r>
          </w:p>
        </w:tc>
        <w:tc>
          <w:tcPr>
            <w:tcW w:w="1134" w:type="dxa"/>
            <w:vAlign w:val="bottom"/>
          </w:tcPr>
          <w:p w:rsidR="00FD06F3" w:rsidRDefault="0054425B">
            <w:pPr>
              <w:tabs>
                <w:tab w:val="decimal" w:pos="837"/>
              </w:tabs>
              <w:jc w:val="left"/>
              <w:rPr>
                <w:sz w:val="18"/>
                <w:szCs w:val="18"/>
              </w:rPr>
            </w:pPr>
            <w:r>
              <w:rPr>
                <w:sz w:val="18"/>
                <w:szCs w:val="18"/>
              </w:rPr>
              <w:t>(37 641)</w:t>
            </w:r>
          </w:p>
        </w:tc>
        <w:tc>
          <w:tcPr>
            <w:tcW w:w="1134" w:type="dxa"/>
            <w:vAlign w:val="bottom"/>
          </w:tcPr>
          <w:p w:rsidR="00FD06F3" w:rsidRDefault="0054425B">
            <w:pPr>
              <w:tabs>
                <w:tab w:val="decimal" w:pos="837"/>
              </w:tabs>
              <w:jc w:val="left"/>
              <w:rPr>
                <w:b/>
                <w:sz w:val="18"/>
                <w:szCs w:val="18"/>
              </w:rPr>
            </w:pPr>
            <w:r>
              <w:rPr>
                <w:b/>
                <w:sz w:val="18"/>
                <w:szCs w:val="18"/>
              </w:rPr>
              <w:t>(59 032)</w:t>
            </w:r>
          </w:p>
        </w:tc>
      </w:tr>
      <w:tr w:rsidR="00FD06F3">
        <w:trPr>
          <w:trHeight w:val="23"/>
          <w:jc w:val="center"/>
        </w:trPr>
        <w:tc>
          <w:tcPr>
            <w:tcW w:w="2835" w:type="dxa"/>
            <w:vAlign w:val="bottom"/>
          </w:tcPr>
          <w:p w:rsidR="00FD06F3" w:rsidRDefault="0054425B">
            <w:pPr>
              <w:pStyle w:val="Tabletext"/>
              <w:widowControl w:val="0"/>
              <w:ind w:left="5" w:right="-108" w:hanging="113"/>
              <w:jc w:val="left"/>
            </w:pPr>
            <w:r>
              <w:t>Перевод между категориями</w:t>
            </w:r>
          </w:p>
        </w:tc>
        <w:tc>
          <w:tcPr>
            <w:tcW w:w="1134" w:type="dxa"/>
            <w:tcBorders>
              <w:bottom w:val="single" w:sz="6" w:space="0" w:color="auto"/>
            </w:tcBorders>
            <w:vAlign w:val="bottom"/>
          </w:tcPr>
          <w:p w:rsidR="00FD06F3" w:rsidRDefault="0054425B">
            <w:pPr>
              <w:pStyle w:val="Tabletext"/>
              <w:widowControl w:val="0"/>
              <w:tabs>
                <w:tab w:val="decimal" w:pos="837"/>
              </w:tabs>
              <w:jc w:val="left"/>
            </w:pPr>
            <w:r>
              <w:t>–</w:t>
            </w:r>
          </w:p>
        </w:tc>
        <w:tc>
          <w:tcPr>
            <w:tcW w:w="1134" w:type="dxa"/>
            <w:tcBorders>
              <w:bottom w:val="single" w:sz="6" w:space="0" w:color="auto"/>
            </w:tcBorders>
            <w:vAlign w:val="bottom"/>
          </w:tcPr>
          <w:p w:rsidR="00FD06F3" w:rsidRDefault="0054425B">
            <w:pPr>
              <w:tabs>
                <w:tab w:val="decimal" w:pos="837"/>
              </w:tabs>
              <w:jc w:val="left"/>
              <w:rPr>
                <w:sz w:val="18"/>
                <w:szCs w:val="18"/>
              </w:rPr>
            </w:pPr>
            <w:r>
              <w:rPr>
                <w:sz w:val="18"/>
                <w:szCs w:val="18"/>
              </w:rPr>
              <w:t>7 697</w:t>
            </w:r>
          </w:p>
        </w:tc>
        <w:tc>
          <w:tcPr>
            <w:tcW w:w="1134" w:type="dxa"/>
            <w:tcBorders>
              <w:bottom w:val="single" w:sz="6" w:space="0" w:color="auto"/>
            </w:tcBorders>
            <w:vAlign w:val="bottom"/>
          </w:tcPr>
          <w:p w:rsidR="00FD06F3" w:rsidRDefault="0054425B">
            <w:pPr>
              <w:tabs>
                <w:tab w:val="decimal" w:pos="837"/>
              </w:tabs>
              <w:jc w:val="left"/>
              <w:rPr>
                <w:sz w:val="18"/>
                <w:szCs w:val="18"/>
              </w:rPr>
            </w:pPr>
            <w:r>
              <w:rPr>
                <w:sz w:val="18"/>
                <w:szCs w:val="18"/>
              </w:rPr>
              <w:t>65 745</w:t>
            </w:r>
          </w:p>
        </w:tc>
        <w:tc>
          <w:tcPr>
            <w:tcW w:w="1134" w:type="dxa"/>
            <w:tcBorders>
              <w:bottom w:val="single" w:sz="6" w:space="0" w:color="auto"/>
            </w:tcBorders>
            <w:vAlign w:val="bottom"/>
          </w:tcPr>
          <w:p w:rsidR="00FD06F3" w:rsidRDefault="0054425B">
            <w:pPr>
              <w:tabs>
                <w:tab w:val="decimal" w:pos="837"/>
              </w:tabs>
              <w:jc w:val="left"/>
              <w:rPr>
                <w:sz w:val="18"/>
                <w:szCs w:val="18"/>
              </w:rPr>
            </w:pPr>
            <w:r>
              <w:rPr>
                <w:sz w:val="18"/>
                <w:szCs w:val="18"/>
              </w:rPr>
              <w:t>(9 965)</w:t>
            </w:r>
          </w:p>
        </w:tc>
        <w:tc>
          <w:tcPr>
            <w:tcW w:w="1134" w:type="dxa"/>
            <w:tcBorders>
              <w:bottom w:val="single" w:sz="6" w:space="0" w:color="auto"/>
            </w:tcBorders>
            <w:vAlign w:val="bottom"/>
          </w:tcPr>
          <w:p w:rsidR="00FD06F3" w:rsidRDefault="0054425B">
            <w:pPr>
              <w:tabs>
                <w:tab w:val="decimal" w:pos="837"/>
              </w:tabs>
              <w:jc w:val="left"/>
              <w:rPr>
                <w:sz w:val="18"/>
                <w:szCs w:val="18"/>
              </w:rPr>
            </w:pPr>
            <w:r>
              <w:rPr>
                <w:sz w:val="18"/>
                <w:szCs w:val="18"/>
              </w:rPr>
              <w:t xml:space="preserve">(63 </w:t>
            </w:r>
            <w:r>
              <w:rPr>
                <w:sz w:val="18"/>
                <w:szCs w:val="18"/>
              </w:rPr>
              <w:t>477)</w:t>
            </w:r>
          </w:p>
        </w:tc>
        <w:tc>
          <w:tcPr>
            <w:tcW w:w="1134" w:type="dxa"/>
            <w:tcBorders>
              <w:bottom w:val="single" w:sz="6" w:space="0" w:color="auto"/>
            </w:tcBorders>
            <w:vAlign w:val="bottom"/>
          </w:tcPr>
          <w:p w:rsidR="00FD06F3" w:rsidRDefault="0054425B">
            <w:pPr>
              <w:pStyle w:val="Tabletext"/>
              <w:widowControl w:val="0"/>
              <w:tabs>
                <w:tab w:val="decimal" w:pos="837"/>
              </w:tabs>
              <w:jc w:val="left"/>
              <w:rPr>
                <w:b/>
              </w:rPr>
            </w:pPr>
            <w:r>
              <w:rPr>
                <w:b/>
              </w:rPr>
              <w:t>–</w:t>
            </w:r>
          </w:p>
        </w:tc>
      </w:tr>
      <w:tr w:rsidR="00FD06F3">
        <w:trPr>
          <w:trHeight w:val="23"/>
          <w:jc w:val="center"/>
        </w:trPr>
        <w:tc>
          <w:tcPr>
            <w:tcW w:w="2835" w:type="dxa"/>
            <w:vAlign w:val="bottom"/>
          </w:tcPr>
          <w:p w:rsidR="00FD06F3" w:rsidRDefault="0054425B">
            <w:pPr>
              <w:pStyle w:val="Tabletext"/>
              <w:widowControl w:val="0"/>
              <w:ind w:left="5" w:right="-108" w:hanging="113"/>
              <w:jc w:val="left"/>
              <w:rPr>
                <w:b/>
                <w:bCs/>
              </w:rPr>
            </w:pPr>
            <w:r>
              <w:rPr>
                <w:b/>
                <w:bCs/>
              </w:rPr>
              <w:t>На 31 декабря 2017 г.</w:t>
            </w:r>
          </w:p>
        </w:tc>
        <w:tc>
          <w:tcPr>
            <w:tcW w:w="1134" w:type="dxa"/>
            <w:tcBorders>
              <w:top w:val="single" w:sz="6" w:space="0" w:color="auto"/>
              <w:bottom w:val="single" w:sz="6" w:space="0" w:color="auto"/>
            </w:tcBorders>
            <w:vAlign w:val="bottom"/>
          </w:tcPr>
          <w:p w:rsidR="00FD06F3" w:rsidRDefault="0054425B">
            <w:pPr>
              <w:widowControl w:val="0"/>
              <w:tabs>
                <w:tab w:val="decimal" w:pos="837"/>
              </w:tabs>
              <w:jc w:val="left"/>
              <w:rPr>
                <w:b/>
                <w:sz w:val="18"/>
                <w:szCs w:val="18"/>
              </w:rPr>
            </w:pPr>
            <w:r>
              <w:rPr>
                <w:b/>
                <w:sz w:val="18"/>
                <w:szCs w:val="18"/>
              </w:rPr>
              <w:t>11 108</w:t>
            </w:r>
          </w:p>
        </w:tc>
        <w:tc>
          <w:tcPr>
            <w:tcW w:w="1134" w:type="dxa"/>
            <w:tcBorders>
              <w:top w:val="single" w:sz="6" w:space="0" w:color="auto"/>
              <w:bottom w:val="single" w:sz="6" w:space="0" w:color="auto"/>
            </w:tcBorders>
            <w:vAlign w:val="bottom"/>
          </w:tcPr>
          <w:p w:rsidR="00FD06F3" w:rsidRDefault="0054425B">
            <w:pPr>
              <w:widowControl w:val="0"/>
              <w:tabs>
                <w:tab w:val="decimal" w:pos="837"/>
              </w:tabs>
              <w:jc w:val="left"/>
              <w:rPr>
                <w:b/>
                <w:sz w:val="18"/>
                <w:szCs w:val="18"/>
              </w:rPr>
            </w:pPr>
            <w:r>
              <w:rPr>
                <w:b/>
                <w:sz w:val="18"/>
                <w:szCs w:val="18"/>
              </w:rPr>
              <w:t>3 593 306</w:t>
            </w:r>
          </w:p>
        </w:tc>
        <w:tc>
          <w:tcPr>
            <w:tcW w:w="1134" w:type="dxa"/>
            <w:tcBorders>
              <w:top w:val="single" w:sz="6" w:space="0" w:color="auto"/>
              <w:bottom w:val="single" w:sz="6" w:space="0" w:color="auto"/>
            </w:tcBorders>
            <w:vAlign w:val="bottom"/>
          </w:tcPr>
          <w:p w:rsidR="00FD06F3" w:rsidRDefault="0054425B">
            <w:pPr>
              <w:widowControl w:val="0"/>
              <w:tabs>
                <w:tab w:val="decimal" w:pos="837"/>
              </w:tabs>
              <w:jc w:val="left"/>
              <w:rPr>
                <w:b/>
                <w:sz w:val="18"/>
                <w:szCs w:val="18"/>
              </w:rPr>
            </w:pPr>
            <w:r>
              <w:rPr>
                <w:b/>
                <w:sz w:val="18"/>
                <w:szCs w:val="18"/>
              </w:rPr>
              <w:t>5 319 635</w:t>
            </w:r>
          </w:p>
        </w:tc>
        <w:tc>
          <w:tcPr>
            <w:tcW w:w="1134" w:type="dxa"/>
            <w:tcBorders>
              <w:top w:val="single" w:sz="6" w:space="0" w:color="auto"/>
              <w:bottom w:val="single" w:sz="6" w:space="0" w:color="auto"/>
            </w:tcBorders>
            <w:vAlign w:val="bottom"/>
          </w:tcPr>
          <w:p w:rsidR="00FD06F3" w:rsidRDefault="0054425B">
            <w:pPr>
              <w:widowControl w:val="0"/>
              <w:tabs>
                <w:tab w:val="decimal" w:pos="837"/>
              </w:tabs>
              <w:jc w:val="left"/>
              <w:rPr>
                <w:b/>
                <w:sz w:val="18"/>
                <w:szCs w:val="18"/>
              </w:rPr>
            </w:pPr>
            <w:r>
              <w:rPr>
                <w:b/>
                <w:sz w:val="18"/>
                <w:szCs w:val="18"/>
              </w:rPr>
              <w:t>319 955</w:t>
            </w:r>
          </w:p>
        </w:tc>
        <w:tc>
          <w:tcPr>
            <w:tcW w:w="1134" w:type="dxa"/>
            <w:tcBorders>
              <w:top w:val="single" w:sz="6" w:space="0" w:color="auto"/>
              <w:bottom w:val="single" w:sz="6" w:space="0" w:color="auto"/>
            </w:tcBorders>
            <w:vAlign w:val="bottom"/>
          </w:tcPr>
          <w:p w:rsidR="00FD06F3" w:rsidRDefault="0054425B">
            <w:pPr>
              <w:widowControl w:val="0"/>
              <w:tabs>
                <w:tab w:val="decimal" w:pos="837"/>
              </w:tabs>
              <w:jc w:val="left"/>
              <w:rPr>
                <w:b/>
                <w:sz w:val="18"/>
                <w:szCs w:val="18"/>
              </w:rPr>
            </w:pPr>
            <w:r>
              <w:rPr>
                <w:b/>
                <w:sz w:val="18"/>
                <w:szCs w:val="18"/>
              </w:rPr>
              <w:t>430 081</w:t>
            </w:r>
          </w:p>
        </w:tc>
        <w:tc>
          <w:tcPr>
            <w:tcW w:w="1134" w:type="dxa"/>
            <w:tcBorders>
              <w:top w:val="single" w:sz="6" w:space="0" w:color="auto"/>
              <w:bottom w:val="single" w:sz="6" w:space="0" w:color="auto"/>
            </w:tcBorders>
            <w:vAlign w:val="bottom"/>
          </w:tcPr>
          <w:p w:rsidR="00FD06F3" w:rsidRDefault="0054425B">
            <w:pPr>
              <w:widowControl w:val="0"/>
              <w:tabs>
                <w:tab w:val="decimal" w:pos="837"/>
              </w:tabs>
              <w:jc w:val="left"/>
              <w:rPr>
                <w:b/>
                <w:sz w:val="18"/>
                <w:szCs w:val="18"/>
              </w:rPr>
            </w:pPr>
            <w:r>
              <w:rPr>
                <w:b/>
                <w:sz w:val="18"/>
                <w:szCs w:val="18"/>
              </w:rPr>
              <w:t>9 674 085</w:t>
            </w:r>
          </w:p>
        </w:tc>
      </w:tr>
      <w:tr w:rsidR="00FD06F3">
        <w:trPr>
          <w:trHeight w:hRule="exact" w:val="113"/>
          <w:jc w:val="center"/>
        </w:trPr>
        <w:tc>
          <w:tcPr>
            <w:tcW w:w="2835" w:type="dxa"/>
            <w:vAlign w:val="bottom"/>
          </w:tcPr>
          <w:p w:rsidR="00FD06F3" w:rsidRDefault="0054425B">
            <w:pPr>
              <w:pStyle w:val="Tabletext"/>
              <w:widowControl w:val="0"/>
              <w:ind w:left="5" w:right="-108" w:hanging="113"/>
              <w:jc w:val="left"/>
              <w:rPr>
                <w:b/>
                <w:bCs/>
              </w:rPr>
            </w:pPr>
            <w:r>
              <w:rPr>
                <w:b/>
                <w:bCs/>
              </w:rPr>
              <w:t xml:space="preserve"> </w:t>
            </w:r>
          </w:p>
        </w:tc>
        <w:tc>
          <w:tcPr>
            <w:tcW w:w="1134" w:type="dxa"/>
            <w:tcBorders>
              <w:top w:val="single" w:sz="6" w:space="0" w:color="auto"/>
            </w:tcBorders>
            <w:vAlign w:val="bottom"/>
          </w:tcPr>
          <w:p w:rsidR="00FD06F3" w:rsidRDefault="00FD06F3">
            <w:pPr>
              <w:pStyle w:val="Tabletext"/>
              <w:widowControl w:val="0"/>
              <w:tabs>
                <w:tab w:val="decimal" w:pos="837"/>
              </w:tabs>
              <w:jc w:val="left"/>
            </w:pPr>
          </w:p>
        </w:tc>
        <w:tc>
          <w:tcPr>
            <w:tcW w:w="1134" w:type="dxa"/>
            <w:tcBorders>
              <w:top w:val="single" w:sz="6" w:space="0" w:color="auto"/>
            </w:tcBorders>
            <w:vAlign w:val="bottom"/>
          </w:tcPr>
          <w:p w:rsidR="00FD06F3" w:rsidRDefault="00FD06F3">
            <w:pPr>
              <w:pStyle w:val="Tabletext"/>
              <w:widowControl w:val="0"/>
              <w:tabs>
                <w:tab w:val="decimal" w:pos="837"/>
              </w:tabs>
              <w:jc w:val="left"/>
            </w:pPr>
          </w:p>
        </w:tc>
        <w:tc>
          <w:tcPr>
            <w:tcW w:w="1134" w:type="dxa"/>
            <w:tcBorders>
              <w:top w:val="single" w:sz="6" w:space="0" w:color="auto"/>
            </w:tcBorders>
            <w:vAlign w:val="bottom"/>
          </w:tcPr>
          <w:p w:rsidR="00FD06F3" w:rsidRDefault="00FD06F3">
            <w:pPr>
              <w:pStyle w:val="Tabletext"/>
              <w:widowControl w:val="0"/>
              <w:tabs>
                <w:tab w:val="decimal" w:pos="837"/>
              </w:tabs>
              <w:jc w:val="left"/>
            </w:pPr>
          </w:p>
        </w:tc>
        <w:tc>
          <w:tcPr>
            <w:tcW w:w="1134" w:type="dxa"/>
            <w:tcBorders>
              <w:top w:val="single" w:sz="6" w:space="0" w:color="auto"/>
            </w:tcBorders>
            <w:vAlign w:val="bottom"/>
          </w:tcPr>
          <w:p w:rsidR="00FD06F3" w:rsidRDefault="00FD06F3">
            <w:pPr>
              <w:pStyle w:val="Tabletext"/>
              <w:widowControl w:val="0"/>
              <w:tabs>
                <w:tab w:val="decimal" w:pos="837"/>
              </w:tabs>
              <w:jc w:val="left"/>
            </w:pPr>
          </w:p>
        </w:tc>
        <w:tc>
          <w:tcPr>
            <w:tcW w:w="1134" w:type="dxa"/>
            <w:tcBorders>
              <w:top w:val="single" w:sz="6" w:space="0" w:color="auto"/>
            </w:tcBorders>
            <w:vAlign w:val="bottom"/>
          </w:tcPr>
          <w:p w:rsidR="00FD06F3" w:rsidRDefault="00FD06F3">
            <w:pPr>
              <w:pStyle w:val="Tabletext"/>
              <w:widowControl w:val="0"/>
              <w:tabs>
                <w:tab w:val="decimal" w:pos="837"/>
              </w:tabs>
              <w:jc w:val="left"/>
            </w:pPr>
          </w:p>
        </w:tc>
        <w:tc>
          <w:tcPr>
            <w:tcW w:w="1134" w:type="dxa"/>
            <w:tcBorders>
              <w:top w:val="single" w:sz="6" w:space="0" w:color="auto"/>
            </w:tcBorders>
            <w:vAlign w:val="bottom"/>
          </w:tcPr>
          <w:p w:rsidR="00FD06F3" w:rsidRDefault="00FD06F3">
            <w:pPr>
              <w:pStyle w:val="Tabletext"/>
              <w:widowControl w:val="0"/>
              <w:tabs>
                <w:tab w:val="decimal" w:pos="837"/>
              </w:tabs>
              <w:jc w:val="left"/>
              <w:rPr>
                <w:b/>
                <w:bCs/>
              </w:rPr>
            </w:pPr>
          </w:p>
        </w:tc>
      </w:tr>
      <w:tr w:rsidR="00FD06F3">
        <w:trPr>
          <w:trHeight w:val="23"/>
          <w:jc w:val="center"/>
        </w:trPr>
        <w:tc>
          <w:tcPr>
            <w:tcW w:w="2835" w:type="dxa"/>
            <w:vAlign w:val="bottom"/>
          </w:tcPr>
          <w:p w:rsidR="00FD06F3" w:rsidRDefault="0054425B">
            <w:pPr>
              <w:pStyle w:val="Tabletext"/>
              <w:widowControl w:val="0"/>
              <w:ind w:left="5" w:right="-108" w:hanging="113"/>
              <w:jc w:val="left"/>
              <w:rPr>
                <w:b/>
                <w:bCs/>
              </w:rPr>
            </w:pPr>
            <w:r>
              <w:rPr>
                <w:b/>
                <w:bCs/>
              </w:rPr>
              <w:t>Накопленный износ</w:t>
            </w:r>
          </w:p>
        </w:tc>
        <w:tc>
          <w:tcPr>
            <w:tcW w:w="1134" w:type="dxa"/>
            <w:vAlign w:val="bottom"/>
          </w:tcPr>
          <w:p w:rsidR="00FD06F3" w:rsidRDefault="00FD06F3">
            <w:pPr>
              <w:pStyle w:val="Tabletext"/>
              <w:widowControl w:val="0"/>
              <w:tabs>
                <w:tab w:val="decimal" w:pos="837"/>
              </w:tabs>
              <w:jc w:val="left"/>
              <w:rPr>
                <w:b/>
                <w:bCs/>
              </w:rPr>
            </w:pPr>
          </w:p>
        </w:tc>
        <w:tc>
          <w:tcPr>
            <w:tcW w:w="1134" w:type="dxa"/>
            <w:vAlign w:val="bottom"/>
          </w:tcPr>
          <w:p w:rsidR="00FD06F3" w:rsidRDefault="00FD06F3">
            <w:pPr>
              <w:pStyle w:val="Tabletext"/>
              <w:widowControl w:val="0"/>
              <w:tabs>
                <w:tab w:val="decimal" w:pos="837"/>
              </w:tabs>
              <w:jc w:val="left"/>
              <w:rPr>
                <w:b/>
                <w:bCs/>
              </w:rPr>
            </w:pPr>
          </w:p>
        </w:tc>
        <w:tc>
          <w:tcPr>
            <w:tcW w:w="1134" w:type="dxa"/>
            <w:vAlign w:val="bottom"/>
          </w:tcPr>
          <w:p w:rsidR="00FD06F3" w:rsidRDefault="00FD06F3">
            <w:pPr>
              <w:pStyle w:val="Tabletext"/>
              <w:widowControl w:val="0"/>
              <w:tabs>
                <w:tab w:val="decimal" w:pos="837"/>
              </w:tabs>
              <w:jc w:val="left"/>
              <w:rPr>
                <w:b/>
                <w:bCs/>
              </w:rPr>
            </w:pPr>
          </w:p>
        </w:tc>
        <w:tc>
          <w:tcPr>
            <w:tcW w:w="1134" w:type="dxa"/>
            <w:vAlign w:val="bottom"/>
          </w:tcPr>
          <w:p w:rsidR="00FD06F3" w:rsidRDefault="00FD06F3">
            <w:pPr>
              <w:pStyle w:val="Tabletext"/>
              <w:widowControl w:val="0"/>
              <w:tabs>
                <w:tab w:val="decimal" w:pos="837"/>
              </w:tabs>
              <w:jc w:val="left"/>
              <w:rPr>
                <w:b/>
                <w:bCs/>
              </w:rPr>
            </w:pPr>
          </w:p>
        </w:tc>
        <w:tc>
          <w:tcPr>
            <w:tcW w:w="1134" w:type="dxa"/>
            <w:vAlign w:val="bottom"/>
          </w:tcPr>
          <w:p w:rsidR="00FD06F3" w:rsidRDefault="00FD06F3">
            <w:pPr>
              <w:pStyle w:val="Tabletext"/>
              <w:widowControl w:val="0"/>
              <w:tabs>
                <w:tab w:val="decimal" w:pos="837"/>
              </w:tabs>
              <w:jc w:val="left"/>
              <w:rPr>
                <w:b/>
                <w:bCs/>
              </w:rPr>
            </w:pPr>
          </w:p>
        </w:tc>
        <w:tc>
          <w:tcPr>
            <w:tcW w:w="1134" w:type="dxa"/>
            <w:vAlign w:val="bottom"/>
          </w:tcPr>
          <w:p w:rsidR="00FD06F3" w:rsidRDefault="00FD06F3">
            <w:pPr>
              <w:pStyle w:val="Tabletext"/>
              <w:widowControl w:val="0"/>
              <w:tabs>
                <w:tab w:val="decimal" w:pos="837"/>
              </w:tabs>
              <w:jc w:val="left"/>
              <w:rPr>
                <w:b/>
                <w:bCs/>
              </w:rPr>
            </w:pPr>
          </w:p>
        </w:tc>
      </w:tr>
      <w:tr w:rsidR="00FD06F3">
        <w:trPr>
          <w:trHeight w:val="23"/>
          <w:jc w:val="center"/>
        </w:trPr>
        <w:tc>
          <w:tcPr>
            <w:tcW w:w="2835" w:type="dxa"/>
            <w:vAlign w:val="bottom"/>
          </w:tcPr>
          <w:p w:rsidR="00FD06F3" w:rsidRDefault="0054425B">
            <w:pPr>
              <w:pStyle w:val="Tabletext"/>
              <w:widowControl w:val="0"/>
              <w:ind w:left="5" w:right="-108" w:hanging="113"/>
              <w:jc w:val="left"/>
              <w:rPr>
                <w:b/>
                <w:bCs/>
              </w:rPr>
            </w:pPr>
            <w:r>
              <w:rPr>
                <w:b/>
                <w:bCs/>
              </w:rPr>
              <w:t>На 1 января 2017 г.</w:t>
            </w:r>
          </w:p>
        </w:tc>
        <w:tc>
          <w:tcPr>
            <w:tcW w:w="1134" w:type="dxa"/>
            <w:vAlign w:val="bottom"/>
          </w:tcPr>
          <w:p w:rsidR="00FD06F3" w:rsidRDefault="0054425B">
            <w:pPr>
              <w:pStyle w:val="Tabletext"/>
              <w:widowControl w:val="0"/>
              <w:tabs>
                <w:tab w:val="decimal" w:pos="837"/>
              </w:tabs>
              <w:jc w:val="left"/>
              <w:rPr>
                <w:b/>
                <w:bCs/>
              </w:rPr>
            </w:pPr>
            <w:r>
              <w:rPr>
                <w:b/>
                <w:bCs/>
              </w:rPr>
              <w:t>–</w:t>
            </w:r>
          </w:p>
        </w:tc>
        <w:tc>
          <w:tcPr>
            <w:tcW w:w="1134" w:type="dxa"/>
            <w:vAlign w:val="bottom"/>
          </w:tcPr>
          <w:p w:rsidR="00FD06F3" w:rsidRDefault="0054425B">
            <w:pPr>
              <w:tabs>
                <w:tab w:val="decimal" w:pos="837"/>
              </w:tabs>
              <w:jc w:val="left"/>
              <w:rPr>
                <w:b/>
                <w:sz w:val="18"/>
                <w:szCs w:val="18"/>
              </w:rPr>
            </w:pPr>
            <w:r>
              <w:rPr>
                <w:b/>
                <w:sz w:val="18"/>
                <w:szCs w:val="18"/>
              </w:rPr>
              <w:t>(1 574 198)</w:t>
            </w:r>
          </w:p>
        </w:tc>
        <w:tc>
          <w:tcPr>
            <w:tcW w:w="1134" w:type="dxa"/>
            <w:vAlign w:val="bottom"/>
          </w:tcPr>
          <w:p w:rsidR="00FD06F3" w:rsidRDefault="0054425B">
            <w:pPr>
              <w:tabs>
                <w:tab w:val="decimal" w:pos="837"/>
              </w:tabs>
              <w:jc w:val="left"/>
              <w:rPr>
                <w:b/>
                <w:sz w:val="18"/>
                <w:szCs w:val="18"/>
              </w:rPr>
            </w:pPr>
            <w:r>
              <w:rPr>
                <w:b/>
                <w:sz w:val="18"/>
                <w:szCs w:val="18"/>
              </w:rPr>
              <w:t>(4 120 351)</w:t>
            </w:r>
          </w:p>
        </w:tc>
        <w:tc>
          <w:tcPr>
            <w:tcW w:w="1134" w:type="dxa"/>
            <w:vAlign w:val="bottom"/>
          </w:tcPr>
          <w:p w:rsidR="00FD06F3" w:rsidRDefault="0054425B">
            <w:pPr>
              <w:tabs>
                <w:tab w:val="decimal" w:pos="837"/>
              </w:tabs>
              <w:jc w:val="left"/>
              <w:rPr>
                <w:b/>
                <w:sz w:val="18"/>
                <w:szCs w:val="18"/>
              </w:rPr>
            </w:pPr>
            <w:r>
              <w:rPr>
                <w:b/>
                <w:sz w:val="18"/>
                <w:szCs w:val="18"/>
              </w:rPr>
              <w:t>(264 611)</w:t>
            </w:r>
          </w:p>
        </w:tc>
        <w:tc>
          <w:tcPr>
            <w:tcW w:w="1134" w:type="dxa"/>
            <w:vAlign w:val="bottom"/>
          </w:tcPr>
          <w:p w:rsidR="00FD06F3" w:rsidRDefault="0054425B">
            <w:pPr>
              <w:tabs>
                <w:tab w:val="decimal" w:pos="837"/>
              </w:tabs>
              <w:jc w:val="left"/>
              <w:rPr>
                <w:b/>
                <w:sz w:val="18"/>
                <w:szCs w:val="18"/>
              </w:rPr>
            </w:pPr>
            <w:r>
              <w:rPr>
                <w:b/>
                <w:sz w:val="18"/>
                <w:szCs w:val="18"/>
              </w:rPr>
              <w:t>–</w:t>
            </w:r>
          </w:p>
        </w:tc>
        <w:tc>
          <w:tcPr>
            <w:tcW w:w="1134" w:type="dxa"/>
            <w:vAlign w:val="bottom"/>
          </w:tcPr>
          <w:p w:rsidR="00FD06F3" w:rsidRDefault="0054425B">
            <w:pPr>
              <w:tabs>
                <w:tab w:val="decimal" w:pos="837"/>
              </w:tabs>
              <w:jc w:val="left"/>
              <w:rPr>
                <w:b/>
                <w:sz w:val="18"/>
                <w:szCs w:val="18"/>
              </w:rPr>
            </w:pPr>
            <w:r>
              <w:rPr>
                <w:b/>
                <w:sz w:val="18"/>
                <w:szCs w:val="18"/>
              </w:rPr>
              <w:t>(5 959 160)</w:t>
            </w:r>
          </w:p>
        </w:tc>
      </w:tr>
      <w:tr w:rsidR="00FD06F3">
        <w:trPr>
          <w:trHeight w:val="23"/>
          <w:jc w:val="center"/>
        </w:trPr>
        <w:tc>
          <w:tcPr>
            <w:tcW w:w="2835" w:type="dxa"/>
            <w:vAlign w:val="bottom"/>
          </w:tcPr>
          <w:p w:rsidR="00FD06F3" w:rsidRDefault="0054425B">
            <w:pPr>
              <w:widowControl w:val="0"/>
              <w:ind w:left="5" w:right="-108" w:hanging="113"/>
              <w:jc w:val="left"/>
              <w:rPr>
                <w:sz w:val="18"/>
                <w:szCs w:val="18"/>
              </w:rPr>
            </w:pPr>
            <w:r>
              <w:rPr>
                <w:sz w:val="18"/>
                <w:szCs w:val="18"/>
              </w:rPr>
              <w:t>Износ</w:t>
            </w:r>
          </w:p>
        </w:tc>
        <w:tc>
          <w:tcPr>
            <w:tcW w:w="1134" w:type="dxa"/>
            <w:vAlign w:val="bottom"/>
          </w:tcPr>
          <w:p w:rsidR="00FD06F3" w:rsidRDefault="0054425B">
            <w:pPr>
              <w:pStyle w:val="Tabletext"/>
              <w:widowControl w:val="0"/>
              <w:tabs>
                <w:tab w:val="decimal" w:pos="837"/>
              </w:tabs>
              <w:jc w:val="left"/>
            </w:pPr>
            <w:r>
              <w:t>–</w:t>
            </w:r>
          </w:p>
        </w:tc>
        <w:tc>
          <w:tcPr>
            <w:tcW w:w="1134" w:type="dxa"/>
            <w:vAlign w:val="bottom"/>
          </w:tcPr>
          <w:p w:rsidR="00FD06F3" w:rsidRDefault="0054425B">
            <w:pPr>
              <w:pStyle w:val="Tabletext"/>
              <w:widowControl w:val="0"/>
              <w:tabs>
                <w:tab w:val="decimal" w:pos="837"/>
              </w:tabs>
              <w:jc w:val="left"/>
            </w:pPr>
            <w:r>
              <w:t>(72 129)</w:t>
            </w:r>
          </w:p>
        </w:tc>
        <w:tc>
          <w:tcPr>
            <w:tcW w:w="1134" w:type="dxa"/>
            <w:vAlign w:val="bottom"/>
          </w:tcPr>
          <w:p w:rsidR="00FD06F3" w:rsidRDefault="0054425B">
            <w:pPr>
              <w:pStyle w:val="Tabletext"/>
              <w:widowControl w:val="0"/>
              <w:tabs>
                <w:tab w:val="decimal" w:pos="837"/>
              </w:tabs>
              <w:jc w:val="left"/>
            </w:pPr>
            <w:r>
              <w:t>(390 722)</w:t>
            </w:r>
          </w:p>
        </w:tc>
        <w:tc>
          <w:tcPr>
            <w:tcW w:w="1134" w:type="dxa"/>
            <w:vAlign w:val="bottom"/>
          </w:tcPr>
          <w:p w:rsidR="00FD06F3" w:rsidRDefault="0054425B">
            <w:pPr>
              <w:pStyle w:val="Tabletext"/>
              <w:widowControl w:val="0"/>
              <w:tabs>
                <w:tab w:val="decimal" w:pos="837"/>
              </w:tabs>
              <w:jc w:val="left"/>
            </w:pPr>
            <w:r>
              <w:t>(15 711)</w:t>
            </w:r>
          </w:p>
        </w:tc>
        <w:tc>
          <w:tcPr>
            <w:tcW w:w="1134" w:type="dxa"/>
            <w:vAlign w:val="bottom"/>
          </w:tcPr>
          <w:p w:rsidR="00FD06F3" w:rsidRDefault="0054425B">
            <w:pPr>
              <w:pStyle w:val="Tabletext"/>
              <w:widowControl w:val="0"/>
              <w:tabs>
                <w:tab w:val="decimal" w:pos="837"/>
              </w:tabs>
              <w:jc w:val="left"/>
            </w:pPr>
            <w:r>
              <w:t>–</w:t>
            </w:r>
          </w:p>
        </w:tc>
        <w:tc>
          <w:tcPr>
            <w:tcW w:w="1134" w:type="dxa"/>
            <w:vAlign w:val="bottom"/>
          </w:tcPr>
          <w:p w:rsidR="00FD06F3" w:rsidRDefault="0054425B">
            <w:pPr>
              <w:pStyle w:val="Tabletext"/>
              <w:widowControl w:val="0"/>
              <w:tabs>
                <w:tab w:val="decimal" w:pos="837"/>
              </w:tabs>
              <w:jc w:val="left"/>
              <w:rPr>
                <w:b/>
              </w:rPr>
            </w:pPr>
            <w:r>
              <w:rPr>
                <w:b/>
              </w:rPr>
              <w:t>(478 562)</w:t>
            </w:r>
          </w:p>
        </w:tc>
      </w:tr>
      <w:tr w:rsidR="00FD06F3">
        <w:trPr>
          <w:trHeight w:val="23"/>
          <w:jc w:val="center"/>
        </w:trPr>
        <w:tc>
          <w:tcPr>
            <w:tcW w:w="2835" w:type="dxa"/>
            <w:vAlign w:val="bottom"/>
          </w:tcPr>
          <w:p w:rsidR="00FD06F3" w:rsidRDefault="0054425B">
            <w:pPr>
              <w:pStyle w:val="Tabletext"/>
              <w:widowControl w:val="0"/>
              <w:ind w:left="5" w:right="-108" w:hanging="113"/>
              <w:jc w:val="left"/>
            </w:pPr>
            <w:r>
              <w:t>Выбытия</w:t>
            </w:r>
          </w:p>
        </w:tc>
        <w:tc>
          <w:tcPr>
            <w:tcW w:w="1134" w:type="dxa"/>
            <w:tcBorders>
              <w:bottom w:val="single" w:sz="6" w:space="0" w:color="auto"/>
            </w:tcBorders>
            <w:vAlign w:val="bottom"/>
          </w:tcPr>
          <w:p w:rsidR="00FD06F3" w:rsidRDefault="0054425B">
            <w:pPr>
              <w:pStyle w:val="Tabletext"/>
              <w:widowControl w:val="0"/>
              <w:tabs>
                <w:tab w:val="decimal" w:pos="837"/>
              </w:tabs>
              <w:jc w:val="left"/>
            </w:pPr>
            <w:r>
              <w:t>–</w:t>
            </w:r>
          </w:p>
        </w:tc>
        <w:tc>
          <w:tcPr>
            <w:tcW w:w="1134" w:type="dxa"/>
            <w:tcBorders>
              <w:bottom w:val="single" w:sz="6" w:space="0" w:color="auto"/>
            </w:tcBorders>
            <w:vAlign w:val="bottom"/>
          </w:tcPr>
          <w:p w:rsidR="00FD06F3" w:rsidRDefault="0054425B">
            <w:pPr>
              <w:tabs>
                <w:tab w:val="decimal" w:pos="837"/>
              </w:tabs>
              <w:jc w:val="left"/>
              <w:rPr>
                <w:sz w:val="18"/>
                <w:szCs w:val="18"/>
              </w:rPr>
            </w:pPr>
            <w:r>
              <w:rPr>
                <w:sz w:val="18"/>
                <w:szCs w:val="18"/>
              </w:rPr>
              <w:t>88</w:t>
            </w:r>
          </w:p>
        </w:tc>
        <w:tc>
          <w:tcPr>
            <w:tcW w:w="1134" w:type="dxa"/>
            <w:tcBorders>
              <w:bottom w:val="single" w:sz="6" w:space="0" w:color="auto"/>
            </w:tcBorders>
            <w:vAlign w:val="bottom"/>
          </w:tcPr>
          <w:p w:rsidR="00FD06F3" w:rsidRDefault="0054425B">
            <w:pPr>
              <w:tabs>
                <w:tab w:val="decimal" w:pos="837"/>
              </w:tabs>
              <w:jc w:val="left"/>
              <w:rPr>
                <w:sz w:val="18"/>
                <w:szCs w:val="18"/>
              </w:rPr>
            </w:pPr>
            <w:r>
              <w:rPr>
                <w:sz w:val="18"/>
                <w:szCs w:val="18"/>
              </w:rPr>
              <w:t xml:space="preserve">24 </w:t>
            </w:r>
            <w:r>
              <w:rPr>
                <w:sz w:val="18"/>
                <w:szCs w:val="18"/>
              </w:rPr>
              <w:t>871  </w:t>
            </w:r>
          </w:p>
        </w:tc>
        <w:tc>
          <w:tcPr>
            <w:tcW w:w="1134" w:type="dxa"/>
            <w:tcBorders>
              <w:bottom w:val="single" w:sz="6" w:space="0" w:color="auto"/>
            </w:tcBorders>
            <w:vAlign w:val="bottom"/>
          </w:tcPr>
          <w:p w:rsidR="00FD06F3" w:rsidRDefault="0054425B">
            <w:pPr>
              <w:tabs>
                <w:tab w:val="decimal" w:pos="837"/>
              </w:tabs>
              <w:jc w:val="left"/>
              <w:rPr>
                <w:sz w:val="18"/>
                <w:szCs w:val="18"/>
              </w:rPr>
            </w:pPr>
            <w:r>
              <w:rPr>
                <w:sz w:val="18"/>
                <w:szCs w:val="18"/>
              </w:rPr>
              <w:t>15 898</w:t>
            </w:r>
          </w:p>
        </w:tc>
        <w:tc>
          <w:tcPr>
            <w:tcW w:w="1134" w:type="dxa"/>
            <w:tcBorders>
              <w:bottom w:val="single" w:sz="6" w:space="0" w:color="auto"/>
            </w:tcBorders>
            <w:vAlign w:val="bottom"/>
          </w:tcPr>
          <w:p w:rsidR="00FD06F3" w:rsidRDefault="0054425B">
            <w:pPr>
              <w:tabs>
                <w:tab w:val="decimal" w:pos="837"/>
              </w:tabs>
              <w:jc w:val="left"/>
              <w:rPr>
                <w:sz w:val="18"/>
                <w:szCs w:val="18"/>
              </w:rPr>
            </w:pPr>
            <w:r>
              <w:rPr>
                <w:sz w:val="18"/>
                <w:szCs w:val="18"/>
              </w:rPr>
              <w:t>–</w:t>
            </w:r>
          </w:p>
        </w:tc>
        <w:tc>
          <w:tcPr>
            <w:tcW w:w="1134" w:type="dxa"/>
            <w:tcBorders>
              <w:bottom w:val="single" w:sz="6" w:space="0" w:color="auto"/>
            </w:tcBorders>
            <w:vAlign w:val="bottom"/>
          </w:tcPr>
          <w:p w:rsidR="00FD06F3" w:rsidRDefault="0054425B">
            <w:pPr>
              <w:tabs>
                <w:tab w:val="decimal" w:pos="837"/>
              </w:tabs>
              <w:jc w:val="left"/>
              <w:rPr>
                <w:b/>
                <w:sz w:val="18"/>
                <w:szCs w:val="18"/>
              </w:rPr>
            </w:pPr>
            <w:r>
              <w:rPr>
                <w:b/>
                <w:sz w:val="18"/>
                <w:szCs w:val="18"/>
              </w:rPr>
              <w:t>40 857</w:t>
            </w:r>
          </w:p>
        </w:tc>
      </w:tr>
      <w:tr w:rsidR="00FD06F3">
        <w:trPr>
          <w:trHeight w:val="23"/>
          <w:jc w:val="center"/>
        </w:trPr>
        <w:tc>
          <w:tcPr>
            <w:tcW w:w="2835" w:type="dxa"/>
            <w:vAlign w:val="bottom"/>
          </w:tcPr>
          <w:p w:rsidR="00FD06F3" w:rsidRDefault="0054425B">
            <w:pPr>
              <w:pStyle w:val="Tabletext"/>
              <w:widowControl w:val="0"/>
              <w:ind w:left="5" w:right="-108" w:hanging="113"/>
              <w:jc w:val="left"/>
              <w:rPr>
                <w:b/>
                <w:bCs/>
              </w:rPr>
            </w:pPr>
            <w:r>
              <w:rPr>
                <w:b/>
                <w:bCs/>
              </w:rPr>
              <w:t>На 31 декабря 2017 г.</w:t>
            </w:r>
          </w:p>
        </w:tc>
        <w:tc>
          <w:tcPr>
            <w:tcW w:w="1134" w:type="dxa"/>
            <w:tcBorders>
              <w:top w:val="single" w:sz="6" w:space="0" w:color="auto"/>
              <w:bottom w:val="single" w:sz="6" w:space="0" w:color="auto"/>
            </w:tcBorders>
            <w:vAlign w:val="bottom"/>
          </w:tcPr>
          <w:p w:rsidR="00FD06F3" w:rsidRDefault="0054425B">
            <w:pPr>
              <w:pStyle w:val="Tabletext"/>
              <w:widowControl w:val="0"/>
              <w:tabs>
                <w:tab w:val="decimal" w:pos="837"/>
              </w:tabs>
              <w:jc w:val="left"/>
              <w:rPr>
                <w:b/>
                <w:bCs/>
              </w:rPr>
            </w:pPr>
            <w:r>
              <w:rPr>
                <w:b/>
                <w:bCs/>
              </w:rPr>
              <w:t>–</w:t>
            </w:r>
          </w:p>
        </w:tc>
        <w:tc>
          <w:tcPr>
            <w:tcW w:w="1134" w:type="dxa"/>
            <w:tcBorders>
              <w:top w:val="single" w:sz="6" w:space="0" w:color="auto"/>
              <w:bottom w:val="single" w:sz="6" w:space="0" w:color="auto"/>
            </w:tcBorders>
            <w:vAlign w:val="bottom"/>
          </w:tcPr>
          <w:p w:rsidR="00FD06F3" w:rsidRDefault="0054425B">
            <w:pPr>
              <w:tabs>
                <w:tab w:val="decimal" w:pos="837"/>
              </w:tabs>
              <w:jc w:val="left"/>
              <w:rPr>
                <w:b/>
                <w:sz w:val="18"/>
                <w:szCs w:val="18"/>
              </w:rPr>
            </w:pPr>
            <w:r>
              <w:rPr>
                <w:b/>
                <w:sz w:val="18"/>
                <w:szCs w:val="18"/>
              </w:rPr>
              <w:t>(1 646 239)</w:t>
            </w:r>
          </w:p>
        </w:tc>
        <w:tc>
          <w:tcPr>
            <w:tcW w:w="1134" w:type="dxa"/>
            <w:tcBorders>
              <w:top w:val="single" w:sz="6" w:space="0" w:color="auto"/>
              <w:bottom w:val="single" w:sz="6" w:space="0" w:color="auto"/>
            </w:tcBorders>
            <w:vAlign w:val="bottom"/>
          </w:tcPr>
          <w:p w:rsidR="00FD06F3" w:rsidRDefault="0054425B">
            <w:pPr>
              <w:tabs>
                <w:tab w:val="decimal" w:pos="837"/>
              </w:tabs>
              <w:jc w:val="left"/>
              <w:rPr>
                <w:b/>
                <w:sz w:val="18"/>
                <w:szCs w:val="18"/>
              </w:rPr>
            </w:pPr>
            <w:r>
              <w:rPr>
                <w:b/>
                <w:sz w:val="18"/>
                <w:szCs w:val="18"/>
              </w:rPr>
              <w:t>(4 486 202)</w:t>
            </w:r>
          </w:p>
        </w:tc>
        <w:tc>
          <w:tcPr>
            <w:tcW w:w="1134" w:type="dxa"/>
            <w:tcBorders>
              <w:top w:val="single" w:sz="6" w:space="0" w:color="auto"/>
              <w:bottom w:val="single" w:sz="6" w:space="0" w:color="auto"/>
            </w:tcBorders>
            <w:vAlign w:val="bottom"/>
          </w:tcPr>
          <w:p w:rsidR="00FD06F3" w:rsidRDefault="0054425B">
            <w:pPr>
              <w:tabs>
                <w:tab w:val="decimal" w:pos="837"/>
              </w:tabs>
              <w:jc w:val="left"/>
              <w:rPr>
                <w:b/>
                <w:sz w:val="18"/>
                <w:szCs w:val="18"/>
              </w:rPr>
            </w:pPr>
            <w:r>
              <w:rPr>
                <w:b/>
                <w:sz w:val="18"/>
                <w:szCs w:val="18"/>
              </w:rPr>
              <w:t>(264 424)</w:t>
            </w:r>
          </w:p>
        </w:tc>
        <w:tc>
          <w:tcPr>
            <w:tcW w:w="1134" w:type="dxa"/>
            <w:tcBorders>
              <w:top w:val="single" w:sz="6" w:space="0" w:color="auto"/>
              <w:bottom w:val="single" w:sz="6" w:space="0" w:color="auto"/>
            </w:tcBorders>
            <w:vAlign w:val="bottom"/>
          </w:tcPr>
          <w:p w:rsidR="00FD06F3" w:rsidRDefault="0054425B">
            <w:pPr>
              <w:tabs>
                <w:tab w:val="decimal" w:pos="837"/>
              </w:tabs>
              <w:jc w:val="left"/>
              <w:rPr>
                <w:b/>
                <w:sz w:val="18"/>
                <w:szCs w:val="18"/>
              </w:rPr>
            </w:pPr>
            <w:r>
              <w:rPr>
                <w:b/>
                <w:sz w:val="18"/>
                <w:szCs w:val="18"/>
              </w:rPr>
              <w:t>–</w:t>
            </w:r>
          </w:p>
        </w:tc>
        <w:tc>
          <w:tcPr>
            <w:tcW w:w="1134" w:type="dxa"/>
            <w:tcBorders>
              <w:top w:val="single" w:sz="6" w:space="0" w:color="auto"/>
              <w:bottom w:val="single" w:sz="6" w:space="0" w:color="auto"/>
            </w:tcBorders>
            <w:vAlign w:val="bottom"/>
          </w:tcPr>
          <w:p w:rsidR="00FD06F3" w:rsidRDefault="0054425B">
            <w:pPr>
              <w:tabs>
                <w:tab w:val="decimal" w:pos="837"/>
              </w:tabs>
              <w:jc w:val="left"/>
              <w:rPr>
                <w:b/>
                <w:sz w:val="18"/>
                <w:szCs w:val="18"/>
              </w:rPr>
            </w:pPr>
            <w:r>
              <w:rPr>
                <w:b/>
                <w:sz w:val="18"/>
                <w:szCs w:val="18"/>
              </w:rPr>
              <w:t>(6 396 865)</w:t>
            </w:r>
          </w:p>
        </w:tc>
      </w:tr>
      <w:tr w:rsidR="00FD06F3">
        <w:trPr>
          <w:trHeight w:hRule="exact" w:val="113"/>
          <w:jc w:val="center"/>
        </w:trPr>
        <w:tc>
          <w:tcPr>
            <w:tcW w:w="2835" w:type="dxa"/>
            <w:vAlign w:val="bottom"/>
          </w:tcPr>
          <w:p w:rsidR="00FD06F3" w:rsidRDefault="0054425B">
            <w:pPr>
              <w:pStyle w:val="Tabletext"/>
              <w:widowControl w:val="0"/>
              <w:ind w:left="5" w:right="-108" w:hanging="113"/>
              <w:jc w:val="left"/>
              <w:rPr>
                <w:b/>
                <w:bCs/>
              </w:rPr>
            </w:pPr>
            <w:r>
              <w:rPr>
                <w:b/>
                <w:bCs/>
              </w:rPr>
              <w:t xml:space="preserve"> </w:t>
            </w:r>
          </w:p>
        </w:tc>
        <w:tc>
          <w:tcPr>
            <w:tcW w:w="1134" w:type="dxa"/>
            <w:tcBorders>
              <w:top w:val="single" w:sz="6" w:space="0" w:color="auto"/>
            </w:tcBorders>
            <w:vAlign w:val="bottom"/>
          </w:tcPr>
          <w:p w:rsidR="00FD06F3" w:rsidRDefault="00FD06F3">
            <w:pPr>
              <w:pStyle w:val="Tabletext"/>
              <w:widowControl w:val="0"/>
              <w:tabs>
                <w:tab w:val="decimal" w:pos="837"/>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837"/>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837"/>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837"/>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837"/>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837"/>
              </w:tabs>
              <w:jc w:val="left"/>
              <w:rPr>
                <w:b/>
                <w:bCs/>
              </w:rPr>
            </w:pPr>
          </w:p>
        </w:tc>
      </w:tr>
      <w:tr w:rsidR="00FD06F3">
        <w:trPr>
          <w:trHeight w:val="23"/>
          <w:jc w:val="center"/>
        </w:trPr>
        <w:tc>
          <w:tcPr>
            <w:tcW w:w="2835" w:type="dxa"/>
            <w:vAlign w:val="bottom"/>
          </w:tcPr>
          <w:p w:rsidR="00FD06F3" w:rsidRDefault="0054425B">
            <w:pPr>
              <w:pStyle w:val="Tabletext"/>
              <w:widowControl w:val="0"/>
              <w:ind w:left="5" w:right="-108" w:hanging="113"/>
              <w:jc w:val="left"/>
              <w:rPr>
                <w:b/>
                <w:bCs/>
              </w:rPr>
            </w:pPr>
            <w:r>
              <w:rPr>
                <w:b/>
                <w:bCs/>
              </w:rPr>
              <w:t>Чистая балансовая стоимость</w:t>
            </w:r>
          </w:p>
        </w:tc>
        <w:tc>
          <w:tcPr>
            <w:tcW w:w="1134" w:type="dxa"/>
            <w:vAlign w:val="bottom"/>
          </w:tcPr>
          <w:p w:rsidR="00FD06F3" w:rsidRDefault="00FD06F3">
            <w:pPr>
              <w:pStyle w:val="Tabletext"/>
              <w:widowControl w:val="0"/>
              <w:tabs>
                <w:tab w:val="decimal" w:pos="837"/>
              </w:tabs>
              <w:jc w:val="left"/>
              <w:rPr>
                <w:b/>
                <w:bCs/>
              </w:rPr>
            </w:pPr>
          </w:p>
        </w:tc>
        <w:tc>
          <w:tcPr>
            <w:tcW w:w="1134" w:type="dxa"/>
            <w:vAlign w:val="bottom"/>
          </w:tcPr>
          <w:p w:rsidR="00FD06F3" w:rsidRDefault="00FD06F3">
            <w:pPr>
              <w:pStyle w:val="Tabletext"/>
              <w:widowControl w:val="0"/>
              <w:tabs>
                <w:tab w:val="decimal" w:pos="837"/>
              </w:tabs>
              <w:jc w:val="left"/>
              <w:rPr>
                <w:b/>
                <w:bCs/>
              </w:rPr>
            </w:pPr>
          </w:p>
        </w:tc>
        <w:tc>
          <w:tcPr>
            <w:tcW w:w="1134" w:type="dxa"/>
            <w:vAlign w:val="bottom"/>
          </w:tcPr>
          <w:p w:rsidR="00FD06F3" w:rsidRDefault="00FD06F3">
            <w:pPr>
              <w:pStyle w:val="Tabletext"/>
              <w:widowControl w:val="0"/>
              <w:tabs>
                <w:tab w:val="decimal" w:pos="837"/>
              </w:tabs>
              <w:jc w:val="left"/>
              <w:rPr>
                <w:b/>
                <w:bCs/>
              </w:rPr>
            </w:pPr>
          </w:p>
        </w:tc>
        <w:tc>
          <w:tcPr>
            <w:tcW w:w="1134" w:type="dxa"/>
            <w:vAlign w:val="bottom"/>
          </w:tcPr>
          <w:p w:rsidR="00FD06F3" w:rsidRDefault="00FD06F3">
            <w:pPr>
              <w:pStyle w:val="Tabletext"/>
              <w:widowControl w:val="0"/>
              <w:tabs>
                <w:tab w:val="decimal" w:pos="837"/>
              </w:tabs>
              <w:jc w:val="left"/>
              <w:rPr>
                <w:b/>
                <w:bCs/>
              </w:rPr>
            </w:pPr>
          </w:p>
        </w:tc>
        <w:tc>
          <w:tcPr>
            <w:tcW w:w="1134" w:type="dxa"/>
            <w:vAlign w:val="bottom"/>
          </w:tcPr>
          <w:p w:rsidR="00FD06F3" w:rsidRDefault="00FD06F3">
            <w:pPr>
              <w:pStyle w:val="Tabletext"/>
              <w:widowControl w:val="0"/>
              <w:tabs>
                <w:tab w:val="decimal" w:pos="837"/>
              </w:tabs>
              <w:jc w:val="left"/>
              <w:rPr>
                <w:b/>
                <w:bCs/>
              </w:rPr>
            </w:pPr>
          </w:p>
        </w:tc>
        <w:tc>
          <w:tcPr>
            <w:tcW w:w="1134" w:type="dxa"/>
            <w:vAlign w:val="bottom"/>
          </w:tcPr>
          <w:p w:rsidR="00FD06F3" w:rsidRDefault="00FD06F3">
            <w:pPr>
              <w:pStyle w:val="Tabletext"/>
              <w:widowControl w:val="0"/>
              <w:tabs>
                <w:tab w:val="decimal" w:pos="837"/>
              </w:tabs>
              <w:jc w:val="left"/>
              <w:rPr>
                <w:b/>
                <w:bCs/>
              </w:rPr>
            </w:pPr>
          </w:p>
        </w:tc>
      </w:tr>
      <w:tr w:rsidR="00FD06F3">
        <w:trPr>
          <w:trHeight w:val="23"/>
          <w:jc w:val="center"/>
        </w:trPr>
        <w:tc>
          <w:tcPr>
            <w:tcW w:w="2835" w:type="dxa"/>
            <w:vAlign w:val="bottom"/>
          </w:tcPr>
          <w:p w:rsidR="00FD06F3" w:rsidRDefault="0054425B">
            <w:pPr>
              <w:pStyle w:val="Tabletext"/>
              <w:widowControl w:val="0"/>
              <w:ind w:left="5" w:right="-108" w:hanging="113"/>
              <w:jc w:val="left"/>
              <w:rPr>
                <w:b/>
                <w:bCs/>
              </w:rPr>
            </w:pPr>
            <w:r>
              <w:rPr>
                <w:b/>
                <w:bCs/>
              </w:rPr>
              <w:t>На 31 декабря 2016 г.</w:t>
            </w:r>
          </w:p>
        </w:tc>
        <w:tc>
          <w:tcPr>
            <w:tcW w:w="1134" w:type="dxa"/>
            <w:tcBorders>
              <w:bottom w:val="single" w:sz="12" w:space="0" w:color="auto"/>
            </w:tcBorders>
            <w:vAlign w:val="bottom"/>
          </w:tcPr>
          <w:p w:rsidR="00FD06F3" w:rsidRDefault="0054425B">
            <w:pPr>
              <w:widowControl w:val="0"/>
              <w:tabs>
                <w:tab w:val="decimal" w:pos="837"/>
              </w:tabs>
              <w:jc w:val="left"/>
              <w:rPr>
                <w:b/>
                <w:bCs/>
                <w:sz w:val="18"/>
                <w:szCs w:val="18"/>
              </w:rPr>
            </w:pPr>
            <w:r>
              <w:rPr>
                <w:b/>
                <w:bCs/>
                <w:sz w:val="18"/>
                <w:szCs w:val="18"/>
              </w:rPr>
              <w:t>11 108</w:t>
            </w:r>
          </w:p>
        </w:tc>
        <w:tc>
          <w:tcPr>
            <w:tcW w:w="1134" w:type="dxa"/>
            <w:tcBorders>
              <w:bottom w:val="single" w:sz="12" w:space="0" w:color="auto"/>
            </w:tcBorders>
            <w:vAlign w:val="bottom"/>
          </w:tcPr>
          <w:p w:rsidR="00FD06F3" w:rsidRDefault="0054425B">
            <w:pPr>
              <w:tabs>
                <w:tab w:val="decimal" w:pos="837"/>
              </w:tabs>
              <w:jc w:val="left"/>
              <w:rPr>
                <w:b/>
                <w:bCs/>
                <w:sz w:val="18"/>
                <w:szCs w:val="18"/>
              </w:rPr>
            </w:pPr>
            <w:r>
              <w:rPr>
                <w:b/>
                <w:bCs/>
                <w:sz w:val="18"/>
                <w:szCs w:val="18"/>
              </w:rPr>
              <w:t>2 011 668</w:t>
            </w:r>
          </w:p>
        </w:tc>
        <w:tc>
          <w:tcPr>
            <w:tcW w:w="1134" w:type="dxa"/>
            <w:tcBorders>
              <w:bottom w:val="single" w:sz="12" w:space="0" w:color="auto"/>
            </w:tcBorders>
            <w:vAlign w:val="bottom"/>
          </w:tcPr>
          <w:p w:rsidR="00FD06F3" w:rsidRDefault="0054425B">
            <w:pPr>
              <w:tabs>
                <w:tab w:val="decimal" w:pos="837"/>
              </w:tabs>
              <w:jc w:val="left"/>
              <w:rPr>
                <w:b/>
                <w:bCs/>
                <w:sz w:val="18"/>
                <w:szCs w:val="18"/>
              </w:rPr>
            </w:pPr>
            <w:r>
              <w:rPr>
                <w:b/>
                <w:bCs/>
                <w:sz w:val="18"/>
                <w:szCs w:val="18"/>
              </w:rPr>
              <w:t>1 145 404</w:t>
            </w:r>
          </w:p>
        </w:tc>
        <w:tc>
          <w:tcPr>
            <w:tcW w:w="1134" w:type="dxa"/>
            <w:tcBorders>
              <w:bottom w:val="single" w:sz="12" w:space="0" w:color="auto"/>
            </w:tcBorders>
            <w:vAlign w:val="bottom"/>
          </w:tcPr>
          <w:p w:rsidR="00FD06F3" w:rsidRDefault="0054425B">
            <w:pPr>
              <w:tabs>
                <w:tab w:val="decimal" w:pos="837"/>
              </w:tabs>
              <w:jc w:val="left"/>
              <w:rPr>
                <w:b/>
                <w:bCs/>
                <w:sz w:val="18"/>
                <w:szCs w:val="18"/>
              </w:rPr>
            </w:pPr>
            <w:r>
              <w:rPr>
                <w:b/>
                <w:bCs/>
                <w:sz w:val="18"/>
                <w:szCs w:val="18"/>
              </w:rPr>
              <w:t>74 578</w:t>
            </w:r>
          </w:p>
        </w:tc>
        <w:tc>
          <w:tcPr>
            <w:tcW w:w="1134" w:type="dxa"/>
            <w:tcBorders>
              <w:bottom w:val="single" w:sz="12" w:space="0" w:color="auto"/>
            </w:tcBorders>
            <w:vAlign w:val="bottom"/>
          </w:tcPr>
          <w:p w:rsidR="00FD06F3" w:rsidRDefault="0054425B">
            <w:pPr>
              <w:tabs>
                <w:tab w:val="decimal" w:pos="837"/>
              </w:tabs>
              <w:jc w:val="left"/>
              <w:rPr>
                <w:b/>
                <w:bCs/>
                <w:sz w:val="18"/>
                <w:szCs w:val="18"/>
              </w:rPr>
            </w:pPr>
            <w:r>
              <w:rPr>
                <w:b/>
                <w:bCs/>
                <w:sz w:val="18"/>
                <w:szCs w:val="18"/>
              </w:rPr>
              <w:t>441 940</w:t>
            </w:r>
          </w:p>
        </w:tc>
        <w:tc>
          <w:tcPr>
            <w:tcW w:w="1134" w:type="dxa"/>
            <w:tcBorders>
              <w:bottom w:val="single" w:sz="12" w:space="0" w:color="auto"/>
            </w:tcBorders>
            <w:vAlign w:val="bottom"/>
          </w:tcPr>
          <w:p w:rsidR="00FD06F3" w:rsidRDefault="0054425B">
            <w:pPr>
              <w:tabs>
                <w:tab w:val="decimal" w:pos="837"/>
              </w:tabs>
              <w:jc w:val="left"/>
              <w:rPr>
                <w:b/>
                <w:bCs/>
                <w:sz w:val="18"/>
                <w:szCs w:val="18"/>
              </w:rPr>
            </w:pPr>
            <w:r>
              <w:rPr>
                <w:b/>
                <w:bCs/>
                <w:sz w:val="18"/>
                <w:szCs w:val="18"/>
              </w:rPr>
              <w:t>3 684 698</w:t>
            </w:r>
          </w:p>
        </w:tc>
      </w:tr>
      <w:tr w:rsidR="00FD06F3">
        <w:trPr>
          <w:trHeight w:val="340"/>
          <w:jc w:val="center"/>
        </w:trPr>
        <w:tc>
          <w:tcPr>
            <w:tcW w:w="2835" w:type="dxa"/>
            <w:tcBorders>
              <w:bottom w:val="nil"/>
            </w:tcBorders>
            <w:vAlign w:val="bottom"/>
          </w:tcPr>
          <w:p w:rsidR="00FD06F3" w:rsidRDefault="0054425B">
            <w:pPr>
              <w:pStyle w:val="Tabletext"/>
              <w:widowControl w:val="0"/>
              <w:ind w:left="5" w:right="-108" w:hanging="113"/>
              <w:jc w:val="left"/>
              <w:rPr>
                <w:b/>
                <w:bCs/>
              </w:rPr>
            </w:pPr>
            <w:r>
              <w:rPr>
                <w:b/>
                <w:bCs/>
              </w:rPr>
              <w:t>На 31 декабря 2017г.</w:t>
            </w:r>
          </w:p>
        </w:tc>
        <w:tc>
          <w:tcPr>
            <w:tcW w:w="1134" w:type="dxa"/>
            <w:tcBorders>
              <w:top w:val="single" w:sz="12" w:space="0" w:color="auto"/>
              <w:bottom w:val="single" w:sz="12" w:space="0" w:color="auto"/>
            </w:tcBorders>
            <w:vAlign w:val="bottom"/>
          </w:tcPr>
          <w:p w:rsidR="00FD06F3" w:rsidRDefault="0054425B">
            <w:pPr>
              <w:widowControl w:val="0"/>
              <w:tabs>
                <w:tab w:val="decimal" w:pos="837"/>
              </w:tabs>
              <w:jc w:val="left"/>
              <w:rPr>
                <w:b/>
                <w:bCs/>
                <w:sz w:val="18"/>
                <w:szCs w:val="18"/>
              </w:rPr>
            </w:pPr>
            <w:r>
              <w:rPr>
                <w:b/>
                <w:bCs/>
                <w:sz w:val="18"/>
                <w:szCs w:val="18"/>
              </w:rPr>
              <w:t>11 108</w:t>
            </w:r>
          </w:p>
        </w:tc>
        <w:tc>
          <w:tcPr>
            <w:tcW w:w="1134" w:type="dxa"/>
            <w:tcBorders>
              <w:top w:val="single" w:sz="12" w:space="0" w:color="auto"/>
              <w:bottom w:val="single" w:sz="12" w:space="0" w:color="auto"/>
            </w:tcBorders>
            <w:vAlign w:val="bottom"/>
          </w:tcPr>
          <w:p w:rsidR="00FD06F3" w:rsidRDefault="0054425B">
            <w:pPr>
              <w:tabs>
                <w:tab w:val="decimal" w:pos="837"/>
              </w:tabs>
              <w:jc w:val="left"/>
              <w:rPr>
                <w:b/>
                <w:bCs/>
                <w:sz w:val="18"/>
                <w:szCs w:val="18"/>
              </w:rPr>
            </w:pPr>
            <w:r>
              <w:rPr>
                <w:b/>
                <w:bCs/>
                <w:sz w:val="18"/>
                <w:szCs w:val="18"/>
              </w:rPr>
              <w:t>1 947 067</w:t>
            </w:r>
          </w:p>
        </w:tc>
        <w:tc>
          <w:tcPr>
            <w:tcW w:w="1134" w:type="dxa"/>
            <w:tcBorders>
              <w:top w:val="single" w:sz="12" w:space="0" w:color="auto"/>
              <w:bottom w:val="single" w:sz="12" w:space="0" w:color="auto"/>
            </w:tcBorders>
            <w:vAlign w:val="bottom"/>
          </w:tcPr>
          <w:p w:rsidR="00FD06F3" w:rsidRDefault="0054425B">
            <w:pPr>
              <w:tabs>
                <w:tab w:val="decimal" w:pos="837"/>
              </w:tabs>
              <w:jc w:val="left"/>
              <w:rPr>
                <w:b/>
                <w:bCs/>
                <w:sz w:val="18"/>
                <w:szCs w:val="18"/>
              </w:rPr>
            </w:pPr>
            <w:r>
              <w:rPr>
                <w:b/>
                <w:bCs/>
                <w:sz w:val="18"/>
                <w:szCs w:val="18"/>
              </w:rPr>
              <w:t>833</w:t>
            </w:r>
            <w:r>
              <w:rPr>
                <w:b/>
                <w:bCs/>
                <w:sz w:val="18"/>
                <w:szCs w:val="18"/>
              </w:rPr>
              <w:t xml:space="preserve"> 433</w:t>
            </w:r>
          </w:p>
        </w:tc>
        <w:tc>
          <w:tcPr>
            <w:tcW w:w="1134" w:type="dxa"/>
            <w:tcBorders>
              <w:top w:val="single" w:sz="12" w:space="0" w:color="auto"/>
              <w:bottom w:val="single" w:sz="12" w:space="0" w:color="auto"/>
            </w:tcBorders>
            <w:vAlign w:val="bottom"/>
          </w:tcPr>
          <w:p w:rsidR="00FD06F3" w:rsidRDefault="0054425B">
            <w:pPr>
              <w:tabs>
                <w:tab w:val="decimal" w:pos="837"/>
              </w:tabs>
              <w:jc w:val="left"/>
              <w:rPr>
                <w:b/>
                <w:bCs/>
                <w:sz w:val="18"/>
                <w:szCs w:val="18"/>
              </w:rPr>
            </w:pPr>
            <w:r>
              <w:rPr>
                <w:b/>
                <w:bCs/>
                <w:sz w:val="18"/>
                <w:szCs w:val="18"/>
              </w:rPr>
              <w:t>55 531</w:t>
            </w:r>
          </w:p>
        </w:tc>
        <w:tc>
          <w:tcPr>
            <w:tcW w:w="1134" w:type="dxa"/>
            <w:tcBorders>
              <w:top w:val="single" w:sz="12" w:space="0" w:color="auto"/>
              <w:bottom w:val="single" w:sz="12" w:space="0" w:color="auto"/>
            </w:tcBorders>
            <w:vAlign w:val="bottom"/>
          </w:tcPr>
          <w:p w:rsidR="00FD06F3" w:rsidRDefault="0054425B">
            <w:pPr>
              <w:tabs>
                <w:tab w:val="decimal" w:pos="837"/>
              </w:tabs>
              <w:jc w:val="left"/>
              <w:rPr>
                <w:b/>
                <w:bCs/>
                <w:sz w:val="18"/>
                <w:szCs w:val="18"/>
              </w:rPr>
            </w:pPr>
            <w:r>
              <w:rPr>
                <w:b/>
                <w:bCs/>
                <w:sz w:val="18"/>
                <w:szCs w:val="18"/>
              </w:rPr>
              <w:t>430 081</w:t>
            </w:r>
          </w:p>
        </w:tc>
        <w:tc>
          <w:tcPr>
            <w:tcW w:w="1134" w:type="dxa"/>
            <w:tcBorders>
              <w:top w:val="single" w:sz="12" w:space="0" w:color="auto"/>
              <w:bottom w:val="single" w:sz="12" w:space="0" w:color="auto"/>
            </w:tcBorders>
            <w:vAlign w:val="bottom"/>
          </w:tcPr>
          <w:p w:rsidR="00FD06F3" w:rsidRDefault="0054425B">
            <w:pPr>
              <w:tabs>
                <w:tab w:val="decimal" w:pos="837"/>
              </w:tabs>
              <w:jc w:val="left"/>
              <w:rPr>
                <w:b/>
                <w:bCs/>
                <w:sz w:val="18"/>
                <w:szCs w:val="18"/>
              </w:rPr>
            </w:pPr>
            <w:r>
              <w:rPr>
                <w:b/>
                <w:bCs/>
                <w:sz w:val="18"/>
                <w:szCs w:val="18"/>
              </w:rPr>
              <w:t>3 277 220</w:t>
            </w:r>
          </w:p>
        </w:tc>
      </w:tr>
    </w:tbl>
    <w:p w:rsidR="00FD06F3" w:rsidRDefault="00FD06F3">
      <w:pPr>
        <w:widowControl w:val="0"/>
        <w:rPr>
          <w:sz w:val="18"/>
        </w:rPr>
      </w:pPr>
    </w:p>
    <w:p w:rsidR="00FD06F3" w:rsidRDefault="0054425B">
      <w:pPr>
        <w:widowControl w:val="0"/>
      </w:pPr>
      <w:r>
        <w:t>Движение основных средств с 1 января по 31 декабря 2016 г. представлено ниже:</w:t>
      </w:r>
    </w:p>
    <w:p w:rsidR="00FD06F3" w:rsidRDefault="00FD06F3">
      <w:pPr>
        <w:widowControl w:val="0"/>
        <w:rPr>
          <w:sz w:val="18"/>
        </w:rPr>
      </w:pPr>
    </w:p>
    <w:tbl>
      <w:tblPr>
        <w:tblW w:w="9639" w:type="dxa"/>
        <w:jc w:val="center"/>
        <w:tblLayout w:type="fixed"/>
        <w:tblLook w:val="0000" w:firstRow="0" w:lastRow="0" w:firstColumn="0" w:lastColumn="0" w:noHBand="0" w:noVBand="0"/>
      </w:tblPr>
      <w:tblGrid>
        <w:gridCol w:w="2835"/>
        <w:gridCol w:w="1134"/>
        <w:gridCol w:w="1134"/>
        <w:gridCol w:w="1134"/>
        <w:gridCol w:w="1134"/>
        <w:gridCol w:w="1134"/>
        <w:gridCol w:w="1134"/>
      </w:tblGrid>
      <w:tr w:rsidR="00FD06F3">
        <w:trPr>
          <w:trHeight w:val="23"/>
          <w:jc w:val="center"/>
        </w:trPr>
        <w:tc>
          <w:tcPr>
            <w:tcW w:w="2835" w:type="dxa"/>
            <w:vAlign w:val="bottom"/>
          </w:tcPr>
          <w:p w:rsidR="00FD06F3" w:rsidRDefault="00FD06F3">
            <w:pPr>
              <w:pStyle w:val="Tabletext"/>
              <w:widowControl w:val="0"/>
              <w:ind w:left="5" w:right="-108" w:hanging="113"/>
              <w:jc w:val="left"/>
            </w:pPr>
          </w:p>
        </w:tc>
        <w:tc>
          <w:tcPr>
            <w:tcW w:w="1134" w:type="dxa"/>
            <w:tcBorders>
              <w:bottom w:val="single" w:sz="6" w:space="0" w:color="auto"/>
            </w:tcBorders>
            <w:vAlign w:val="bottom"/>
          </w:tcPr>
          <w:p w:rsidR="00FD06F3" w:rsidRDefault="0054425B">
            <w:pPr>
              <w:pStyle w:val="Tabletext"/>
              <w:widowControl w:val="0"/>
              <w:ind w:left="-108" w:right="-108"/>
              <w:jc w:val="center"/>
              <w:rPr>
                <w:b/>
                <w:bCs/>
              </w:rPr>
            </w:pPr>
            <w:r>
              <w:rPr>
                <w:b/>
                <w:bCs/>
              </w:rPr>
              <w:t>Земля</w:t>
            </w:r>
          </w:p>
        </w:tc>
        <w:tc>
          <w:tcPr>
            <w:tcW w:w="1134" w:type="dxa"/>
            <w:tcBorders>
              <w:bottom w:val="single" w:sz="6" w:space="0" w:color="auto"/>
            </w:tcBorders>
            <w:vAlign w:val="bottom"/>
          </w:tcPr>
          <w:p w:rsidR="00FD06F3" w:rsidRDefault="0054425B">
            <w:pPr>
              <w:pStyle w:val="Tabletext"/>
              <w:widowControl w:val="0"/>
              <w:ind w:left="-108" w:right="-108"/>
              <w:jc w:val="center"/>
              <w:rPr>
                <w:b/>
                <w:bCs/>
              </w:rPr>
            </w:pPr>
            <w:r>
              <w:rPr>
                <w:b/>
                <w:bCs/>
              </w:rPr>
              <w:t>Здания и сооружения</w:t>
            </w:r>
          </w:p>
        </w:tc>
        <w:tc>
          <w:tcPr>
            <w:tcW w:w="1134" w:type="dxa"/>
            <w:tcBorders>
              <w:bottom w:val="single" w:sz="6" w:space="0" w:color="auto"/>
            </w:tcBorders>
            <w:vAlign w:val="bottom"/>
          </w:tcPr>
          <w:p w:rsidR="00FD06F3" w:rsidRDefault="0054425B">
            <w:pPr>
              <w:pStyle w:val="Tabletext"/>
              <w:widowControl w:val="0"/>
              <w:ind w:left="-108" w:right="-108"/>
              <w:jc w:val="center"/>
              <w:rPr>
                <w:b/>
                <w:bCs/>
              </w:rPr>
            </w:pPr>
            <w:r>
              <w:rPr>
                <w:b/>
                <w:bCs/>
              </w:rPr>
              <w:t>Машины и оборудование</w:t>
            </w:r>
          </w:p>
        </w:tc>
        <w:tc>
          <w:tcPr>
            <w:tcW w:w="1134" w:type="dxa"/>
            <w:tcBorders>
              <w:bottom w:val="single" w:sz="6" w:space="0" w:color="auto"/>
            </w:tcBorders>
            <w:vAlign w:val="bottom"/>
          </w:tcPr>
          <w:p w:rsidR="00FD06F3" w:rsidRDefault="0054425B">
            <w:pPr>
              <w:pStyle w:val="Tabletext"/>
              <w:widowControl w:val="0"/>
              <w:ind w:left="-108" w:right="-108"/>
              <w:jc w:val="center"/>
              <w:rPr>
                <w:b/>
                <w:bCs/>
              </w:rPr>
            </w:pPr>
            <w:r>
              <w:rPr>
                <w:b/>
                <w:bCs/>
              </w:rPr>
              <w:t>Прочее</w:t>
            </w:r>
          </w:p>
        </w:tc>
        <w:tc>
          <w:tcPr>
            <w:tcW w:w="1134" w:type="dxa"/>
            <w:tcBorders>
              <w:bottom w:val="single" w:sz="6" w:space="0" w:color="auto"/>
            </w:tcBorders>
            <w:vAlign w:val="bottom"/>
          </w:tcPr>
          <w:p w:rsidR="00FD06F3" w:rsidRDefault="0054425B">
            <w:pPr>
              <w:pStyle w:val="Tabletext"/>
              <w:widowControl w:val="0"/>
              <w:ind w:left="-108" w:right="-108"/>
              <w:jc w:val="center"/>
              <w:rPr>
                <w:b/>
                <w:bCs/>
              </w:rPr>
            </w:pPr>
            <w:r>
              <w:rPr>
                <w:b/>
                <w:bCs/>
              </w:rPr>
              <w:t>Незавер-шенное строи-тельство</w:t>
            </w:r>
          </w:p>
        </w:tc>
        <w:tc>
          <w:tcPr>
            <w:tcW w:w="1134" w:type="dxa"/>
            <w:tcBorders>
              <w:bottom w:val="single" w:sz="6" w:space="0" w:color="auto"/>
            </w:tcBorders>
            <w:vAlign w:val="bottom"/>
          </w:tcPr>
          <w:p w:rsidR="00FD06F3" w:rsidRDefault="0054425B">
            <w:pPr>
              <w:pStyle w:val="Tabletext"/>
              <w:widowControl w:val="0"/>
              <w:ind w:left="-108" w:right="-108"/>
              <w:jc w:val="center"/>
              <w:rPr>
                <w:b/>
                <w:bCs/>
              </w:rPr>
            </w:pPr>
            <w:r>
              <w:rPr>
                <w:b/>
                <w:bCs/>
              </w:rPr>
              <w:t>Итого</w:t>
            </w:r>
          </w:p>
        </w:tc>
      </w:tr>
      <w:tr w:rsidR="00FD06F3">
        <w:trPr>
          <w:trHeight w:val="23"/>
          <w:jc w:val="center"/>
        </w:trPr>
        <w:tc>
          <w:tcPr>
            <w:tcW w:w="2835" w:type="dxa"/>
            <w:vAlign w:val="bottom"/>
          </w:tcPr>
          <w:p w:rsidR="00FD06F3" w:rsidRDefault="0054425B">
            <w:pPr>
              <w:pStyle w:val="Tabletext"/>
              <w:widowControl w:val="0"/>
              <w:ind w:left="5" w:right="-108" w:hanging="113"/>
              <w:jc w:val="left"/>
              <w:rPr>
                <w:b/>
                <w:bCs/>
              </w:rPr>
            </w:pPr>
            <w:r>
              <w:rPr>
                <w:b/>
                <w:bCs/>
              </w:rPr>
              <w:t>Общая балансовая стоимость</w:t>
            </w:r>
          </w:p>
        </w:tc>
        <w:tc>
          <w:tcPr>
            <w:tcW w:w="1134" w:type="dxa"/>
            <w:tcBorders>
              <w:top w:val="single" w:sz="6" w:space="0" w:color="auto"/>
            </w:tcBorders>
            <w:vAlign w:val="bottom"/>
          </w:tcPr>
          <w:p w:rsidR="00FD06F3" w:rsidRDefault="00FD06F3">
            <w:pPr>
              <w:pStyle w:val="Tabletext"/>
              <w:widowControl w:val="0"/>
              <w:tabs>
                <w:tab w:val="decimal" w:pos="794"/>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794"/>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794"/>
              </w:tabs>
              <w:jc w:val="left"/>
            </w:pPr>
          </w:p>
        </w:tc>
        <w:tc>
          <w:tcPr>
            <w:tcW w:w="1134" w:type="dxa"/>
            <w:tcBorders>
              <w:top w:val="single" w:sz="6" w:space="0" w:color="auto"/>
            </w:tcBorders>
            <w:vAlign w:val="bottom"/>
          </w:tcPr>
          <w:p w:rsidR="00FD06F3" w:rsidRDefault="00FD06F3">
            <w:pPr>
              <w:pStyle w:val="Tabletext"/>
              <w:widowControl w:val="0"/>
              <w:tabs>
                <w:tab w:val="decimal" w:pos="794"/>
              </w:tabs>
              <w:jc w:val="left"/>
            </w:pPr>
          </w:p>
        </w:tc>
        <w:tc>
          <w:tcPr>
            <w:tcW w:w="1134" w:type="dxa"/>
            <w:tcBorders>
              <w:top w:val="single" w:sz="6" w:space="0" w:color="auto"/>
            </w:tcBorders>
            <w:vAlign w:val="bottom"/>
          </w:tcPr>
          <w:p w:rsidR="00FD06F3" w:rsidRDefault="00FD06F3">
            <w:pPr>
              <w:pStyle w:val="Tabletext"/>
              <w:widowControl w:val="0"/>
              <w:tabs>
                <w:tab w:val="decimal" w:pos="794"/>
              </w:tabs>
              <w:jc w:val="left"/>
            </w:pPr>
          </w:p>
        </w:tc>
        <w:tc>
          <w:tcPr>
            <w:tcW w:w="1134" w:type="dxa"/>
            <w:tcBorders>
              <w:top w:val="single" w:sz="6" w:space="0" w:color="auto"/>
            </w:tcBorders>
            <w:vAlign w:val="bottom"/>
          </w:tcPr>
          <w:p w:rsidR="00FD06F3" w:rsidRDefault="00FD06F3">
            <w:pPr>
              <w:pStyle w:val="Tabletext"/>
              <w:widowControl w:val="0"/>
              <w:tabs>
                <w:tab w:val="decimal" w:pos="794"/>
              </w:tabs>
              <w:jc w:val="left"/>
            </w:pPr>
          </w:p>
        </w:tc>
      </w:tr>
      <w:tr w:rsidR="00FD06F3">
        <w:trPr>
          <w:trHeight w:val="23"/>
          <w:jc w:val="center"/>
        </w:trPr>
        <w:tc>
          <w:tcPr>
            <w:tcW w:w="2835" w:type="dxa"/>
            <w:vAlign w:val="bottom"/>
          </w:tcPr>
          <w:p w:rsidR="00FD06F3" w:rsidRDefault="0054425B">
            <w:pPr>
              <w:pStyle w:val="Tabletext"/>
              <w:widowControl w:val="0"/>
              <w:ind w:left="5" w:right="-108" w:hanging="113"/>
              <w:jc w:val="left"/>
              <w:rPr>
                <w:b/>
                <w:bCs/>
              </w:rPr>
            </w:pPr>
            <w:r>
              <w:rPr>
                <w:b/>
                <w:bCs/>
              </w:rPr>
              <w:t xml:space="preserve">На 1 января </w:t>
            </w:r>
            <w:r>
              <w:rPr>
                <w:b/>
                <w:bCs/>
              </w:rPr>
              <w:t>2016 г.</w:t>
            </w:r>
          </w:p>
        </w:tc>
        <w:tc>
          <w:tcPr>
            <w:tcW w:w="1134" w:type="dxa"/>
            <w:vAlign w:val="bottom"/>
          </w:tcPr>
          <w:p w:rsidR="00FD06F3" w:rsidRDefault="0054425B">
            <w:pPr>
              <w:widowControl w:val="0"/>
              <w:tabs>
                <w:tab w:val="decimal" w:pos="851"/>
              </w:tabs>
              <w:jc w:val="left"/>
              <w:rPr>
                <w:b/>
                <w:sz w:val="18"/>
                <w:szCs w:val="18"/>
              </w:rPr>
            </w:pPr>
            <w:r>
              <w:rPr>
                <w:b/>
                <w:sz w:val="18"/>
                <w:szCs w:val="18"/>
              </w:rPr>
              <w:t>11 108</w:t>
            </w:r>
          </w:p>
        </w:tc>
        <w:tc>
          <w:tcPr>
            <w:tcW w:w="1134" w:type="dxa"/>
            <w:vAlign w:val="bottom"/>
          </w:tcPr>
          <w:p w:rsidR="00FD06F3" w:rsidRDefault="0054425B">
            <w:pPr>
              <w:widowControl w:val="0"/>
              <w:tabs>
                <w:tab w:val="decimal" w:pos="851"/>
              </w:tabs>
              <w:jc w:val="left"/>
              <w:rPr>
                <w:b/>
                <w:sz w:val="18"/>
                <w:szCs w:val="18"/>
              </w:rPr>
            </w:pPr>
            <w:r>
              <w:rPr>
                <w:b/>
                <w:sz w:val="18"/>
                <w:szCs w:val="18"/>
              </w:rPr>
              <w:t>3 585 820</w:t>
            </w:r>
          </w:p>
        </w:tc>
        <w:tc>
          <w:tcPr>
            <w:tcW w:w="1134" w:type="dxa"/>
            <w:vAlign w:val="bottom"/>
          </w:tcPr>
          <w:p w:rsidR="00FD06F3" w:rsidRDefault="0054425B">
            <w:pPr>
              <w:widowControl w:val="0"/>
              <w:tabs>
                <w:tab w:val="decimal" w:pos="851"/>
              </w:tabs>
              <w:jc w:val="left"/>
              <w:rPr>
                <w:b/>
                <w:sz w:val="18"/>
                <w:szCs w:val="18"/>
              </w:rPr>
            </w:pPr>
            <w:r>
              <w:rPr>
                <w:b/>
                <w:sz w:val="18"/>
                <w:szCs w:val="18"/>
              </w:rPr>
              <w:t>5 274 498</w:t>
            </w:r>
          </w:p>
        </w:tc>
        <w:tc>
          <w:tcPr>
            <w:tcW w:w="1134" w:type="dxa"/>
            <w:vAlign w:val="bottom"/>
          </w:tcPr>
          <w:p w:rsidR="00FD06F3" w:rsidRDefault="0054425B">
            <w:pPr>
              <w:widowControl w:val="0"/>
              <w:tabs>
                <w:tab w:val="decimal" w:pos="851"/>
              </w:tabs>
              <w:jc w:val="left"/>
              <w:rPr>
                <w:b/>
                <w:sz w:val="18"/>
                <w:szCs w:val="18"/>
              </w:rPr>
            </w:pPr>
            <w:r>
              <w:rPr>
                <w:b/>
                <w:sz w:val="18"/>
                <w:szCs w:val="18"/>
              </w:rPr>
              <w:t>317 955</w:t>
            </w:r>
          </w:p>
        </w:tc>
        <w:tc>
          <w:tcPr>
            <w:tcW w:w="1134" w:type="dxa"/>
            <w:vAlign w:val="bottom"/>
          </w:tcPr>
          <w:p w:rsidR="00FD06F3" w:rsidRDefault="0054425B">
            <w:pPr>
              <w:widowControl w:val="0"/>
              <w:tabs>
                <w:tab w:val="decimal" w:pos="851"/>
              </w:tabs>
              <w:jc w:val="left"/>
              <w:rPr>
                <w:b/>
                <w:sz w:val="18"/>
                <w:szCs w:val="18"/>
              </w:rPr>
            </w:pPr>
            <w:r>
              <w:rPr>
                <w:b/>
                <w:sz w:val="18"/>
                <w:szCs w:val="18"/>
              </w:rPr>
              <w:t>408 509</w:t>
            </w:r>
          </w:p>
        </w:tc>
        <w:tc>
          <w:tcPr>
            <w:tcW w:w="1134" w:type="dxa"/>
            <w:vAlign w:val="bottom"/>
          </w:tcPr>
          <w:p w:rsidR="00FD06F3" w:rsidRDefault="0054425B">
            <w:pPr>
              <w:widowControl w:val="0"/>
              <w:tabs>
                <w:tab w:val="decimal" w:pos="851"/>
              </w:tabs>
              <w:jc w:val="left"/>
              <w:rPr>
                <w:b/>
                <w:sz w:val="18"/>
                <w:szCs w:val="18"/>
              </w:rPr>
            </w:pPr>
            <w:r>
              <w:rPr>
                <w:b/>
                <w:sz w:val="18"/>
                <w:szCs w:val="18"/>
              </w:rPr>
              <w:t>9 597 890</w:t>
            </w:r>
          </w:p>
        </w:tc>
      </w:tr>
      <w:tr w:rsidR="00FD06F3">
        <w:trPr>
          <w:trHeight w:val="23"/>
          <w:jc w:val="center"/>
        </w:trPr>
        <w:tc>
          <w:tcPr>
            <w:tcW w:w="2835" w:type="dxa"/>
            <w:vAlign w:val="bottom"/>
          </w:tcPr>
          <w:p w:rsidR="00FD06F3" w:rsidRDefault="0054425B">
            <w:pPr>
              <w:pStyle w:val="Tabletext"/>
              <w:widowControl w:val="0"/>
              <w:ind w:left="5" w:right="-108" w:hanging="113"/>
              <w:jc w:val="left"/>
            </w:pPr>
            <w:r>
              <w:t>Поступления</w:t>
            </w:r>
          </w:p>
        </w:tc>
        <w:tc>
          <w:tcPr>
            <w:tcW w:w="1134" w:type="dxa"/>
            <w:vAlign w:val="bottom"/>
          </w:tcPr>
          <w:p w:rsidR="00FD06F3" w:rsidRDefault="0054425B">
            <w:pPr>
              <w:pStyle w:val="Tabletext"/>
              <w:widowControl w:val="0"/>
              <w:tabs>
                <w:tab w:val="decimal" w:pos="851"/>
              </w:tabs>
              <w:jc w:val="left"/>
            </w:pPr>
            <w:r>
              <w:t>–</w:t>
            </w:r>
          </w:p>
        </w:tc>
        <w:tc>
          <w:tcPr>
            <w:tcW w:w="1134" w:type="dxa"/>
            <w:vAlign w:val="bottom"/>
          </w:tcPr>
          <w:p w:rsidR="00FD06F3" w:rsidRDefault="0054425B">
            <w:pPr>
              <w:pStyle w:val="Tabletext"/>
              <w:widowControl w:val="0"/>
              <w:tabs>
                <w:tab w:val="decimal" w:pos="851"/>
              </w:tabs>
              <w:jc w:val="left"/>
            </w:pPr>
            <w:r>
              <w:t>–</w:t>
            </w:r>
          </w:p>
        </w:tc>
        <w:tc>
          <w:tcPr>
            <w:tcW w:w="1134" w:type="dxa"/>
            <w:vAlign w:val="bottom"/>
          </w:tcPr>
          <w:p w:rsidR="00FD06F3" w:rsidRDefault="0054425B">
            <w:pPr>
              <w:pStyle w:val="Tabletext"/>
              <w:widowControl w:val="0"/>
              <w:tabs>
                <w:tab w:val="decimal" w:pos="851"/>
              </w:tabs>
              <w:jc w:val="left"/>
            </w:pPr>
            <w:r>
              <w:t>–</w:t>
            </w:r>
          </w:p>
        </w:tc>
        <w:tc>
          <w:tcPr>
            <w:tcW w:w="1134" w:type="dxa"/>
            <w:vAlign w:val="bottom"/>
          </w:tcPr>
          <w:p w:rsidR="00FD06F3" w:rsidRDefault="0054425B">
            <w:pPr>
              <w:pStyle w:val="Tabletext"/>
              <w:widowControl w:val="0"/>
              <w:tabs>
                <w:tab w:val="decimal" w:pos="851"/>
              </w:tabs>
              <w:jc w:val="left"/>
            </w:pPr>
            <w:r>
              <w:t>–</w:t>
            </w:r>
          </w:p>
        </w:tc>
        <w:tc>
          <w:tcPr>
            <w:tcW w:w="1134" w:type="dxa"/>
            <w:vAlign w:val="bottom"/>
          </w:tcPr>
          <w:p w:rsidR="00FD06F3" w:rsidRDefault="0054425B">
            <w:pPr>
              <w:widowControl w:val="0"/>
              <w:tabs>
                <w:tab w:val="decimal" w:pos="851"/>
              </w:tabs>
              <w:jc w:val="left"/>
              <w:rPr>
                <w:sz w:val="18"/>
                <w:szCs w:val="18"/>
              </w:rPr>
            </w:pPr>
            <w:r>
              <w:rPr>
                <w:sz w:val="18"/>
                <w:szCs w:val="18"/>
              </w:rPr>
              <w:t>138 187</w:t>
            </w:r>
          </w:p>
        </w:tc>
        <w:tc>
          <w:tcPr>
            <w:tcW w:w="1134" w:type="dxa"/>
            <w:vAlign w:val="bottom"/>
          </w:tcPr>
          <w:p w:rsidR="00FD06F3" w:rsidRDefault="0054425B">
            <w:pPr>
              <w:widowControl w:val="0"/>
              <w:tabs>
                <w:tab w:val="decimal" w:pos="851"/>
              </w:tabs>
              <w:jc w:val="left"/>
              <w:rPr>
                <w:b/>
                <w:sz w:val="18"/>
                <w:szCs w:val="18"/>
              </w:rPr>
            </w:pPr>
            <w:r>
              <w:rPr>
                <w:b/>
                <w:sz w:val="18"/>
                <w:szCs w:val="18"/>
              </w:rPr>
              <w:t>138 187</w:t>
            </w:r>
          </w:p>
        </w:tc>
      </w:tr>
      <w:tr w:rsidR="00FD06F3">
        <w:trPr>
          <w:trHeight w:val="23"/>
          <w:jc w:val="center"/>
        </w:trPr>
        <w:tc>
          <w:tcPr>
            <w:tcW w:w="2835" w:type="dxa"/>
            <w:vAlign w:val="bottom"/>
          </w:tcPr>
          <w:p w:rsidR="00FD06F3" w:rsidRDefault="0054425B">
            <w:pPr>
              <w:pStyle w:val="Tabletext"/>
              <w:widowControl w:val="0"/>
              <w:ind w:left="5" w:right="-108" w:hanging="113"/>
              <w:jc w:val="left"/>
            </w:pPr>
            <w:r>
              <w:t>Выбытия</w:t>
            </w:r>
          </w:p>
        </w:tc>
        <w:tc>
          <w:tcPr>
            <w:tcW w:w="1134" w:type="dxa"/>
            <w:vAlign w:val="bottom"/>
          </w:tcPr>
          <w:p w:rsidR="00FD06F3" w:rsidRDefault="0054425B">
            <w:pPr>
              <w:pStyle w:val="Tabletext"/>
              <w:widowControl w:val="0"/>
              <w:tabs>
                <w:tab w:val="decimal" w:pos="851"/>
              </w:tabs>
              <w:jc w:val="left"/>
            </w:pPr>
            <w:r>
              <w:t>–</w:t>
            </w:r>
          </w:p>
        </w:tc>
        <w:tc>
          <w:tcPr>
            <w:tcW w:w="1134" w:type="dxa"/>
            <w:vAlign w:val="bottom"/>
          </w:tcPr>
          <w:p w:rsidR="00FD06F3" w:rsidRDefault="0054425B">
            <w:pPr>
              <w:pStyle w:val="Tabletext"/>
              <w:widowControl w:val="0"/>
              <w:tabs>
                <w:tab w:val="decimal" w:pos="851"/>
              </w:tabs>
              <w:jc w:val="left"/>
            </w:pPr>
            <w:r>
              <w:t>–</w:t>
            </w:r>
          </w:p>
        </w:tc>
        <w:tc>
          <w:tcPr>
            <w:tcW w:w="1134" w:type="dxa"/>
            <w:vAlign w:val="bottom"/>
          </w:tcPr>
          <w:p w:rsidR="00FD06F3" w:rsidRDefault="0054425B">
            <w:pPr>
              <w:tabs>
                <w:tab w:val="decimal" w:pos="851"/>
              </w:tabs>
              <w:jc w:val="left"/>
              <w:rPr>
                <w:sz w:val="18"/>
                <w:szCs w:val="18"/>
              </w:rPr>
            </w:pPr>
            <w:r>
              <w:rPr>
                <w:sz w:val="18"/>
                <w:szCs w:val="18"/>
              </w:rPr>
              <w:t>(45 614)</w:t>
            </w:r>
          </w:p>
        </w:tc>
        <w:tc>
          <w:tcPr>
            <w:tcW w:w="1134" w:type="dxa"/>
            <w:vAlign w:val="bottom"/>
          </w:tcPr>
          <w:p w:rsidR="00FD06F3" w:rsidRDefault="0054425B">
            <w:pPr>
              <w:tabs>
                <w:tab w:val="decimal" w:pos="851"/>
              </w:tabs>
              <w:jc w:val="left"/>
              <w:rPr>
                <w:sz w:val="18"/>
                <w:szCs w:val="18"/>
              </w:rPr>
            </w:pPr>
            <w:r>
              <w:rPr>
                <w:sz w:val="18"/>
                <w:szCs w:val="18"/>
              </w:rPr>
              <w:t>(14 422)</w:t>
            </w:r>
          </w:p>
        </w:tc>
        <w:tc>
          <w:tcPr>
            <w:tcW w:w="1134" w:type="dxa"/>
            <w:vAlign w:val="bottom"/>
          </w:tcPr>
          <w:p w:rsidR="00FD06F3" w:rsidRDefault="0054425B">
            <w:pPr>
              <w:tabs>
                <w:tab w:val="decimal" w:pos="851"/>
              </w:tabs>
              <w:jc w:val="left"/>
              <w:rPr>
                <w:sz w:val="18"/>
                <w:szCs w:val="18"/>
              </w:rPr>
            </w:pPr>
            <w:r>
              <w:rPr>
                <w:sz w:val="18"/>
                <w:szCs w:val="18"/>
              </w:rPr>
              <w:t>(32 183)</w:t>
            </w:r>
          </w:p>
        </w:tc>
        <w:tc>
          <w:tcPr>
            <w:tcW w:w="1134" w:type="dxa"/>
            <w:vAlign w:val="bottom"/>
          </w:tcPr>
          <w:p w:rsidR="00FD06F3" w:rsidRDefault="0054425B">
            <w:pPr>
              <w:tabs>
                <w:tab w:val="decimal" w:pos="851"/>
              </w:tabs>
              <w:jc w:val="left"/>
              <w:rPr>
                <w:b/>
                <w:sz w:val="18"/>
                <w:szCs w:val="18"/>
              </w:rPr>
            </w:pPr>
            <w:r>
              <w:rPr>
                <w:b/>
                <w:sz w:val="18"/>
                <w:szCs w:val="18"/>
              </w:rPr>
              <w:t>(92 219)</w:t>
            </w:r>
          </w:p>
        </w:tc>
      </w:tr>
      <w:tr w:rsidR="00FD06F3">
        <w:trPr>
          <w:trHeight w:val="23"/>
          <w:jc w:val="center"/>
        </w:trPr>
        <w:tc>
          <w:tcPr>
            <w:tcW w:w="2835" w:type="dxa"/>
            <w:vAlign w:val="bottom"/>
          </w:tcPr>
          <w:p w:rsidR="00FD06F3" w:rsidRDefault="0054425B">
            <w:pPr>
              <w:pStyle w:val="Tabletext"/>
              <w:widowControl w:val="0"/>
              <w:ind w:left="5" w:right="-108" w:hanging="113"/>
              <w:jc w:val="left"/>
            </w:pPr>
            <w:r>
              <w:t>Перевод между категориями</w:t>
            </w:r>
          </w:p>
        </w:tc>
        <w:tc>
          <w:tcPr>
            <w:tcW w:w="1134" w:type="dxa"/>
            <w:tcBorders>
              <w:bottom w:val="single" w:sz="6" w:space="0" w:color="auto"/>
            </w:tcBorders>
            <w:vAlign w:val="bottom"/>
          </w:tcPr>
          <w:p w:rsidR="00FD06F3" w:rsidRDefault="0054425B">
            <w:pPr>
              <w:pStyle w:val="Tabletext"/>
              <w:widowControl w:val="0"/>
              <w:tabs>
                <w:tab w:val="decimal" w:pos="851"/>
              </w:tabs>
              <w:jc w:val="left"/>
            </w:pPr>
            <w:r>
              <w:t>–</w:t>
            </w:r>
          </w:p>
        </w:tc>
        <w:tc>
          <w:tcPr>
            <w:tcW w:w="1134" w:type="dxa"/>
            <w:tcBorders>
              <w:bottom w:val="single" w:sz="6" w:space="0" w:color="auto"/>
            </w:tcBorders>
            <w:vAlign w:val="bottom"/>
          </w:tcPr>
          <w:p w:rsidR="00FD06F3" w:rsidRDefault="0054425B">
            <w:pPr>
              <w:tabs>
                <w:tab w:val="decimal" w:pos="851"/>
              </w:tabs>
              <w:jc w:val="left"/>
              <w:rPr>
                <w:sz w:val="18"/>
                <w:szCs w:val="18"/>
              </w:rPr>
            </w:pPr>
            <w:r>
              <w:rPr>
                <w:sz w:val="18"/>
                <w:szCs w:val="18"/>
              </w:rPr>
              <w:t>46</w:t>
            </w:r>
          </w:p>
        </w:tc>
        <w:tc>
          <w:tcPr>
            <w:tcW w:w="1134" w:type="dxa"/>
            <w:tcBorders>
              <w:bottom w:val="single" w:sz="6" w:space="0" w:color="auto"/>
            </w:tcBorders>
            <w:vAlign w:val="bottom"/>
          </w:tcPr>
          <w:p w:rsidR="00FD06F3" w:rsidRDefault="0054425B">
            <w:pPr>
              <w:tabs>
                <w:tab w:val="decimal" w:pos="851"/>
              </w:tabs>
              <w:jc w:val="left"/>
              <w:rPr>
                <w:sz w:val="18"/>
                <w:szCs w:val="18"/>
              </w:rPr>
            </w:pPr>
            <w:r>
              <w:rPr>
                <w:sz w:val="18"/>
                <w:szCs w:val="18"/>
              </w:rPr>
              <w:t>36 871</w:t>
            </w:r>
          </w:p>
        </w:tc>
        <w:tc>
          <w:tcPr>
            <w:tcW w:w="1134" w:type="dxa"/>
            <w:tcBorders>
              <w:bottom w:val="single" w:sz="6" w:space="0" w:color="auto"/>
            </w:tcBorders>
            <w:vAlign w:val="bottom"/>
          </w:tcPr>
          <w:p w:rsidR="00FD06F3" w:rsidRDefault="0054425B">
            <w:pPr>
              <w:tabs>
                <w:tab w:val="decimal" w:pos="851"/>
              </w:tabs>
              <w:jc w:val="left"/>
              <w:rPr>
                <w:sz w:val="18"/>
                <w:szCs w:val="18"/>
              </w:rPr>
            </w:pPr>
            <w:r>
              <w:rPr>
                <w:sz w:val="18"/>
                <w:szCs w:val="18"/>
              </w:rPr>
              <w:t>35 656</w:t>
            </w:r>
          </w:p>
        </w:tc>
        <w:tc>
          <w:tcPr>
            <w:tcW w:w="1134" w:type="dxa"/>
            <w:tcBorders>
              <w:bottom w:val="single" w:sz="6" w:space="0" w:color="auto"/>
            </w:tcBorders>
            <w:vAlign w:val="bottom"/>
          </w:tcPr>
          <w:p w:rsidR="00FD06F3" w:rsidRDefault="0054425B">
            <w:pPr>
              <w:tabs>
                <w:tab w:val="decimal" w:pos="851"/>
              </w:tabs>
              <w:jc w:val="left"/>
              <w:rPr>
                <w:sz w:val="18"/>
                <w:szCs w:val="18"/>
              </w:rPr>
            </w:pPr>
            <w:r>
              <w:rPr>
                <w:sz w:val="18"/>
                <w:szCs w:val="18"/>
              </w:rPr>
              <w:t>(72 573)</w:t>
            </w:r>
          </w:p>
        </w:tc>
        <w:tc>
          <w:tcPr>
            <w:tcW w:w="1134" w:type="dxa"/>
            <w:tcBorders>
              <w:bottom w:val="single" w:sz="6" w:space="0" w:color="auto"/>
            </w:tcBorders>
            <w:vAlign w:val="bottom"/>
          </w:tcPr>
          <w:p w:rsidR="00FD06F3" w:rsidRDefault="0054425B">
            <w:pPr>
              <w:pStyle w:val="Tabletext"/>
              <w:widowControl w:val="0"/>
              <w:tabs>
                <w:tab w:val="decimal" w:pos="851"/>
              </w:tabs>
              <w:jc w:val="left"/>
              <w:rPr>
                <w:b/>
              </w:rPr>
            </w:pPr>
            <w:r>
              <w:rPr>
                <w:b/>
              </w:rPr>
              <w:t>–</w:t>
            </w:r>
          </w:p>
        </w:tc>
      </w:tr>
      <w:tr w:rsidR="00FD06F3">
        <w:trPr>
          <w:trHeight w:val="23"/>
          <w:jc w:val="center"/>
        </w:trPr>
        <w:tc>
          <w:tcPr>
            <w:tcW w:w="2835" w:type="dxa"/>
            <w:vAlign w:val="bottom"/>
          </w:tcPr>
          <w:p w:rsidR="00FD06F3" w:rsidRDefault="0054425B">
            <w:pPr>
              <w:pStyle w:val="Tabletext"/>
              <w:widowControl w:val="0"/>
              <w:ind w:left="5" w:right="-108" w:hanging="113"/>
              <w:jc w:val="left"/>
              <w:rPr>
                <w:b/>
                <w:bCs/>
              </w:rPr>
            </w:pPr>
            <w:r>
              <w:rPr>
                <w:b/>
                <w:bCs/>
              </w:rPr>
              <w:t>На 31 декабря 2016 г.</w:t>
            </w:r>
          </w:p>
        </w:tc>
        <w:tc>
          <w:tcPr>
            <w:tcW w:w="1134" w:type="dxa"/>
            <w:tcBorders>
              <w:top w:val="single" w:sz="6" w:space="0" w:color="auto"/>
              <w:bottom w:val="single" w:sz="6" w:space="0" w:color="auto"/>
            </w:tcBorders>
            <w:vAlign w:val="bottom"/>
          </w:tcPr>
          <w:p w:rsidR="00FD06F3" w:rsidRDefault="0054425B">
            <w:pPr>
              <w:widowControl w:val="0"/>
              <w:tabs>
                <w:tab w:val="decimal" w:pos="851"/>
              </w:tabs>
              <w:jc w:val="left"/>
              <w:rPr>
                <w:b/>
                <w:sz w:val="18"/>
                <w:szCs w:val="18"/>
              </w:rPr>
            </w:pPr>
            <w:r>
              <w:rPr>
                <w:b/>
                <w:sz w:val="18"/>
                <w:szCs w:val="18"/>
              </w:rPr>
              <w:t>11 108</w:t>
            </w:r>
          </w:p>
        </w:tc>
        <w:tc>
          <w:tcPr>
            <w:tcW w:w="1134" w:type="dxa"/>
            <w:tcBorders>
              <w:top w:val="single" w:sz="6" w:space="0" w:color="auto"/>
              <w:bottom w:val="single" w:sz="6" w:space="0" w:color="auto"/>
            </w:tcBorders>
            <w:vAlign w:val="bottom"/>
          </w:tcPr>
          <w:p w:rsidR="00FD06F3" w:rsidRDefault="0054425B">
            <w:pPr>
              <w:widowControl w:val="0"/>
              <w:tabs>
                <w:tab w:val="decimal" w:pos="851"/>
              </w:tabs>
              <w:jc w:val="left"/>
              <w:rPr>
                <w:b/>
                <w:sz w:val="18"/>
                <w:szCs w:val="18"/>
              </w:rPr>
            </w:pPr>
            <w:r>
              <w:rPr>
                <w:b/>
                <w:sz w:val="18"/>
                <w:szCs w:val="18"/>
              </w:rPr>
              <w:t>3 585 866</w:t>
            </w:r>
          </w:p>
        </w:tc>
        <w:tc>
          <w:tcPr>
            <w:tcW w:w="1134" w:type="dxa"/>
            <w:tcBorders>
              <w:top w:val="single" w:sz="6" w:space="0" w:color="auto"/>
              <w:bottom w:val="single" w:sz="6" w:space="0" w:color="auto"/>
            </w:tcBorders>
            <w:vAlign w:val="bottom"/>
          </w:tcPr>
          <w:p w:rsidR="00FD06F3" w:rsidRDefault="0054425B">
            <w:pPr>
              <w:widowControl w:val="0"/>
              <w:tabs>
                <w:tab w:val="decimal" w:pos="851"/>
              </w:tabs>
              <w:jc w:val="left"/>
              <w:rPr>
                <w:b/>
                <w:sz w:val="18"/>
                <w:szCs w:val="18"/>
              </w:rPr>
            </w:pPr>
            <w:r>
              <w:rPr>
                <w:b/>
                <w:sz w:val="18"/>
                <w:szCs w:val="18"/>
              </w:rPr>
              <w:t>5 265 755</w:t>
            </w:r>
          </w:p>
        </w:tc>
        <w:tc>
          <w:tcPr>
            <w:tcW w:w="1134" w:type="dxa"/>
            <w:tcBorders>
              <w:top w:val="single" w:sz="6" w:space="0" w:color="auto"/>
              <w:bottom w:val="single" w:sz="6" w:space="0" w:color="auto"/>
            </w:tcBorders>
            <w:vAlign w:val="bottom"/>
          </w:tcPr>
          <w:p w:rsidR="00FD06F3" w:rsidRDefault="0054425B">
            <w:pPr>
              <w:widowControl w:val="0"/>
              <w:tabs>
                <w:tab w:val="decimal" w:pos="851"/>
              </w:tabs>
              <w:jc w:val="left"/>
              <w:rPr>
                <w:b/>
                <w:sz w:val="18"/>
                <w:szCs w:val="18"/>
              </w:rPr>
            </w:pPr>
            <w:r>
              <w:rPr>
                <w:b/>
                <w:sz w:val="18"/>
                <w:szCs w:val="18"/>
              </w:rPr>
              <w:t>339 189</w:t>
            </w:r>
          </w:p>
        </w:tc>
        <w:tc>
          <w:tcPr>
            <w:tcW w:w="1134" w:type="dxa"/>
            <w:tcBorders>
              <w:top w:val="single" w:sz="6" w:space="0" w:color="auto"/>
              <w:bottom w:val="single" w:sz="6" w:space="0" w:color="auto"/>
            </w:tcBorders>
            <w:vAlign w:val="bottom"/>
          </w:tcPr>
          <w:p w:rsidR="00FD06F3" w:rsidRDefault="0054425B">
            <w:pPr>
              <w:widowControl w:val="0"/>
              <w:tabs>
                <w:tab w:val="decimal" w:pos="851"/>
              </w:tabs>
              <w:jc w:val="left"/>
              <w:rPr>
                <w:b/>
                <w:sz w:val="18"/>
                <w:szCs w:val="18"/>
              </w:rPr>
            </w:pPr>
            <w:r>
              <w:rPr>
                <w:b/>
                <w:sz w:val="18"/>
                <w:szCs w:val="18"/>
              </w:rPr>
              <w:t>441 940</w:t>
            </w:r>
          </w:p>
        </w:tc>
        <w:tc>
          <w:tcPr>
            <w:tcW w:w="1134" w:type="dxa"/>
            <w:tcBorders>
              <w:top w:val="single" w:sz="6" w:space="0" w:color="auto"/>
              <w:bottom w:val="single" w:sz="6" w:space="0" w:color="auto"/>
            </w:tcBorders>
            <w:vAlign w:val="bottom"/>
          </w:tcPr>
          <w:p w:rsidR="00FD06F3" w:rsidRDefault="0054425B">
            <w:pPr>
              <w:widowControl w:val="0"/>
              <w:tabs>
                <w:tab w:val="decimal" w:pos="851"/>
              </w:tabs>
              <w:jc w:val="left"/>
              <w:rPr>
                <w:b/>
                <w:sz w:val="18"/>
                <w:szCs w:val="18"/>
              </w:rPr>
            </w:pPr>
            <w:r>
              <w:rPr>
                <w:b/>
                <w:sz w:val="18"/>
                <w:szCs w:val="18"/>
              </w:rPr>
              <w:t>9 643 858</w:t>
            </w:r>
          </w:p>
        </w:tc>
      </w:tr>
      <w:tr w:rsidR="00FD06F3">
        <w:trPr>
          <w:trHeight w:hRule="exact" w:val="113"/>
          <w:jc w:val="center"/>
        </w:trPr>
        <w:tc>
          <w:tcPr>
            <w:tcW w:w="2835" w:type="dxa"/>
            <w:vAlign w:val="bottom"/>
          </w:tcPr>
          <w:p w:rsidR="00FD06F3" w:rsidRDefault="0054425B">
            <w:pPr>
              <w:pStyle w:val="Tabletext"/>
              <w:widowControl w:val="0"/>
              <w:ind w:left="5" w:right="-108" w:hanging="113"/>
              <w:jc w:val="left"/>
              <w:rPr>
                <w:b/>
                <w:bCs/>
              </w:rPr>
            </w:pPr>
            <w:r>
              <w:rPr>
                <w:b/>
                <w:bCs/>
              </w:rPr>
              <w:t xml:space="preserve"> </w:t>
            </w:r>
          </w:p>
        </w:tc>
        <w:tc>
          <w:tcPr>
            <w:tcW w:w="1134" w:type="dxa"/>
            <w:tcBorders>
              <w:top w:val="single" w:sz="6" w:space="0" w:color="auto"/>
            </w:tcBorders>
            <w:vAlign w:val="bottom"/>
          </w:tcPr>
          <w:p w:rsidR="00FD06F3" w:rsidRDefault="00FD06F3">
            <w:pPr>
              <w:pStyle w:val="Tabletext"/>
              <w:widowControl w:val="0"/>
              <w:tabs>
                <w:tab w:val="decimal" w:pos="851"/>
              </w:tabs>
              <w:jc w:val="left"/>
            </w:pPr>
          </w:p>
        </w:tc>
        <w:tc>
          <w:tcPr>
            <w:tcW w:w="1134" w:type="dxa"/>
            <w:tcBorders>
              <w:top w:val="single" w:sz="6" w:space="0" w:color="auto"/>
            </w:tcBorders>
            <w:vAlign w:val="bottom"/>
          </w:tcPr>
          <w:p w:rsidR="00FD06F3" w:rsidRDefault="00FD06F3">
            <w:pPr>
              <w:pStyle w:val="Tabletext"/>
              <w:widowControl w:val="0"/>
              <w:tabs>
                <w:tab w:val="decimal" w:pos="851"/>
              </w:tabs>
              <w:jc w:val="left"/>
            </w:pPr>
          </w:p>
        </w:tc>
        <w:tc>
          <w:tcPr>
            <w:tcW w:w="1134" w:type="dxa"/>
            <w:tcBorders>
              <w:top w:val="single" w:sz="6" w:space="0" w:color="auto"/>
            </w:tcBorders>
            <w:vAlign w:val="bottom"/>
          </w:tcPr>
          <w:p w:rsidR="00FD06F3" w:rsidRDefault="00FD06F3">
            <w:pPr>
              <w:pStyle w:val="Tabletext"/>
              <w:widowControl w:val="0"/>
              <w:tabs>
                <w:tab w:val="decimal" w:pos="851"/>
              </w:tabs>
              <w:jc w:val="left"/>
            </w:pPr>
          </w:p>
        </w:tc>
        <w:tc>
          <w:tcPr>
            <w:tcW w:w="1134" w:type="dxa"/>
            <w:tcBorders>
              <w:top w:val="single" w:sz="6" w:space="0" w:color="auto"/>
            </w:tcBorders>
            <w:vAlign w:val="bottom"/>
          </w:tcPr>
          <w:p w:rsidR="00FD06F3" w:rsidRDefault="00FD06F3">
            <w:pPr>
              <w:pStyle w:val="Tabletext"/>
              <w:widowControl w:val="0"/>
              <w:tabs>
                <w:tab w:val="decimal" w:pos="851"/>
              </w:tabs>
              <w:jc w:val="left"/>
            </w:pPr>
          </w:p>
        </w:tc>
        <w:tc>
          <w:tcPr>
            <w:tcW w:w="1134" w:type="dxa"/>
            <w:tcBorders>
              <w:top w:val="single" w:sz="6" w:space="0" w:color="auto"/>
            </w:tcBorders>
            <w:vAlign w:val="bottom"/>
          </w:tcPr>
          <w:p w:rsidR="00FD06F3" w:rsidRDefault="00FD06F3">
            <w:pPr>
              <w:pStyle w:val="Tabletext"/>
              <w:widowControl w:val="0"/>
              <w:tabs>
                <w:tab w:val="decimal" w:pos="851"/>
              </w:tabs>
              <w:jc w:val="left"/>
            </w:pPr>
          </w:p>
        </w:tc>
        <w:tc>
          <w:tcPr>
            <w:tcW w:w="1134" w:type="dxa"/>
            <w:tcBorders>
              <w:top w:val="single" w:sz="6" w:space="0" w:color="auto"/>
            </w:tcBorders>
            <w:vAlign w:val="bottom"/>
          </w:tcPr>
          <w:p w:rsidR="00FD06F3" w:rsidRDefault="00FD06F3">
            <w:pPr>
              <w:pStyle w:val="Tabletext"/>
              <w:widowControl w:val="0"/>
              <w:tabs>
                <w:tab w:val="decimal" w:pos="851"/>
              </w:tabs>
              <w:jc w:val="left"/>
              <w:rPr>
                <w:b/>
                <w:bCs/>
              </w:rPr>
            </w:pPr>
          </w:p>
        </w:tc>
      </w:tr>
      <w:tr w:rsidR="00FD06F3">
        <w:trPr>
          <w:trHeight w:val="23"/>
          <w:jc w:val="center"/>
        </w:trPr>
        <w:tc>
          <w:tcPr>
            <w:tcW w:w="2835" w:type="dxa"/>
            <w:vAlign w:val="bottom"/>
          </w:tcPr>
          <w:p w:rsidR="00FD06F3" w:rsidRDefault="0054425B">
            <w:pPr>
              <w:pStyle w:val="Tabletext"/>
              <w:widowControl w:val="0"/>
              <w:ind w:left="5" w:right="-108" w:hanging="113"/>
              <w:jc w:val="left"/>
              <w:rPr>
                <w:b/>
                <w:bCs/>
              </w:rPr>
            </w:pPr>
            <w:r>
              <w:rPr>
                <w:b/>
                <w:bCs/>
              </w:rPr>
              <w:t>Накопленный износ</w:t>
            </w:r>
          </w:p>
        </w:tc>
        <w:tc>
          <w:tcPr>
            <w:tcW w:w="1134" w:type="dxa"/>
            <w:vAlign w:val="bottom"/>
          </w:tcPr>
          <w:p w:rsidR="00FD06F3" w:rsidRDefault="00FD06F3">
            <w:pPr>
              <w:pStyle w:val="Tabletext"/>
              <w:widowControl w:val="0"/>
              <w:tabs>
                <w:tab w:val="decimal" w:pos="851"/>
              </w:tabs>
              <w:jc w:val="left"/>
              <w:rPr>
                <w:b/>
                <w:bCs/>
              </w:rPr>
            </w:pPr>
          </w:p>
        </w:tc>
        <w:tc>
          <w:tcPr>
            <w:tcW w:w="1134" w:type="dxa"/>
            <w:vAlign w:val="bottom"/>
          </w:tcPr>
          <w:p w:rsidR="00FD06F3" w:rsidRDefault="00FD06F3">
            <w:pPr>
              <w:pStyle w:val="Tabletext"/>
              <w:widowControl w:val="0"/>
              <w:tabs>
                <w:tab w:val="decimal" w:pos="851"/>
              </w:tabs>
              <w:jc w:val="left"/>
              <w:rPr>
                <w:b/>
                <w:bCs/>
              </w:rPr>
            </w:pPr>
          </w:p>
        </w:tc>
        <w:tc>
          <w:tcPr>
            <w:tcW w:w="1134" w:type="dxa"/>
            <w:vAlign w:val="bottom"/>
          </w:tcPr>
          <w:p w:rsidR="00FD06F3" w:rsidRDefault="00FD06F3">
            <w:pPr>
              <w:pStyle w:val="Tabletext"/>
              <w:widowControl w:val="0"/>
              <w:tabs>
                <w:tab w:val="decimal" w:pos="851"/>
              </w:tabs>
              <w:jc w:val="left"/>
              <w:rPr>
                <w:b/>
                <w:bCs/>
              </w:rPr>
            </w:pPr>
          </w:p>
        </w:tc>
        <w:tc>
          <w:tcPr>
            <w:tcW w:w="1134" w:type="dxa"/>
            <w:vAlign w:val="bottom"/>
          </w:tcPr>
          <w:p w:rsidR="00FD06F3" w:rsidRDefault="00FD06F3">
            <w:pPr>
              <w:pStyle w:val="Tabletext"/>
              <w:widowControl w:val="0"/>
              <w:tabs>
                <w:tab w:val="decimal" w:pos="851"/>
              </w:tabs>
              <w:jc w:val="left"/>
              <w:rPr>
                <w:b/>
                <w:bCs/>
              </w:rPr>
            </w:pPr>
          </w:p>
        </w:tc>
        <w:tc>
          <w:tcPr>
            <w:tcW w:w="1134" w:type="dxa"/>
            <w:vAlign w:val="bottom"/>
          </w:tcPr>
          <w:p w:rsidR="00FD06F3" w:rsidRDefault="00FD06F3">
            <w:pPr>
              <w:pStyle w:val="Tabletext"/>
              <w:widowControl w:val="0"/>
              <w:tabs>
                <w:tab w:val="decimal" w:pos="851"/>
              </w:tabs>
              <w:jc w:val="left"/>
              <w:rPr>
                <w:b/>
                <w:bCs/>
              </w:rPr>
            </w:pPr>
          </w:p>
        </w:tc>
        <w:tc>
          <w:tcPr>
            <w:tcW w:w="1134" w:type="dxa"/>
            <w:vAlign w:val="bottom"/>
          </w:tcPr>
          <w:p w:rsidR="00FD06F3" w:rsidRDefault="00FD06F3">
            <w:pPr>
              <w:pStyle w:val="Tabletext"/>
              <w:widowControl w:val="0"/>
              <w:tabs>
                <w:tab w:val="decimal" w:pos="851"/>
              </w:tabs>
              <w:jc w:val="left"/>
              <w:rPr>
                <w:b/>
                <w:bCs/>
              </w:rPr>
            </w:pPr>
          </w:p>
        </w:tc>
      </w:tr>
      <w:tr w:rsidR="00FD06F3">
        <w:trPr>
          <w:trHeight w:val="23"/>
          <w:jc w:val="center"/>
        </w:trPr>
        <w:tc>
          <w:tcPr>
            <w:tcW w:w="2835" w:type="dxa"/>
            <w:vAlign w:val="bottom"/>
          </w:tcPr>
          <w:p w:rsidR="00FD06F3" w:rsidRDefault="0054425B">
            <w:pPr>
              <w:pStyle w:val="Tabletext"/>
              <w:widowControl w:val="0"/>
              <w:ind w:left="5" w:right="-108" w:hanging="113"/>
              <w:jc w:val="left"/>
              <w:rPr>
                <w:b/>
                <w:bCs/>
              </w:rPr>
            </w:pPr>
            <w:r>
              <w:rPr>
                <w:b/>
                <w:bCs/>
              </w:rPr>
              <w:t>На 1 января 2016 г.</w:t>
            </w:r>
          </w:p>
        </w:tc>
        <w:tc>
          <w:tcPr>
            <w:tcW w:w="1134" w:type="dxa"/>
            <w:vAlign w:val="bottom"/>
          </w:tcPr>
          <w:p w:rsidR="00FD06F3" w:rsidRDefault="0054425B">
            <w:pPr>
              <w:pStyle w:val="Tabletext"/>
              <w:widowControl w:val="0"/>
              <w:tabs>
                <w:tab w:val="decimal" w:pos="851"/>
              </w:tabs>
              <w:jc w:val="left"/>
              <w:rPr>
                <w:b/>
                <w:bCs/>
              </w:rPr>
            </w:pPr>
            <w:r>
              <w:rPr>
                <w:b/>
                <w:bCs/>
              </w:rPr>
              <w:t>–</w:t>
            </w:r>
          </w:p>
        </w:tc>
        <w:tc>
          <w:tcPr>
            <w:tcW w:w="1134" w:type="dxa"/>
            <w:vAlign w:val="bottom"/>
          </w:tcPr>
          <w:p w:rsidR="00FD06F3" w:rsidRDefault="0054425B">
            <w:pPr>
              <w:widowControl w:val="0"/>
              <w:tabs>
                <w:tab w:val="decimal" w:pos="851"/>
              </w:tabs>
              <w:jc w:val="left"/>
              <w:rPr>
                <w:b/>
                <w:sz w:val="18"/>
                <w:szCs w:val="18"/>
              </w:rPr>
            </w:pPr>
            <w:r>
              <w:rPr>
                <w:b/>
                <w:sz w:val="18"/>
                <w:szCs w:val="18"/>
              </w:rPr>
              <w:t>(1 493 767)</w:t>
            </w:r>
          </w:p>
        </w:tc>
        <w:tc>
          <w:tcPr>
            <w:tcW w:w="1134" w:type="dxa"/>
            <w:vAlign w:val="bottom"/>
          </w:tcPr>
          <w:p w:rsidR="00FD06F3" w:rsidRDefault="0054425B">
            <w:pPr>
              <w:widowControl w:val="0"/>
              <w:tabs>
                <w:tab w:val="decimal" w:pos="851"/>
              </w:tabs>
              <w:jc w:val="left"/>
              <w:rPr>
                <w:b/>
                <w:sz w:val="18"/>
                <w:szCs w:val="18"/>
              </w:rPr>
            </w:pPr>
            <w:r>
              <w:rPr>
                <w:b/>
                <w:sz w:val="18"/>
                <w:szCs w:val="18"/>
              </w:rPr>
              <w:t>(3 805 675)</w:t>
            </w:r>
          </w:p>
        </w:tc>
        <w:tc>
          <w:tcPr>
            <w:tcW w:w="1134" w:type="dxa"/>
            <w:vAlign w:val="bottom"/>
          </w:tcPr>
          <w:p w:rsidR="00FD06F3" w:rsidRDefault="0054425B">
            <w:pPr>
              <w:widowControl w:val="0"/>
              <w:tabs>
                <w:tab w:val="decimal" w:pos="851"/>
              </w:tabs>
              <w:jc w:val="left"/>
              <w:rPr>
                <w:b/>
                <w:sz w:val="18"/>
                <w:szCs w:val="18"/>
              </w:rPr>
            </w:pPr>
            <w:r>
              <w:rPr>
                <w:b/>
                <w:sz w:val="18"/>
                <w:szCs w:val="18"/>
              </w:rPr>
              <w:t>(253 284)</w:t>
            </w:r>
          </w:p>
        </w:tc>
        <w:tc>
          <w:tcPr>
            <w:tcW w:w="1134" w:type="dxa"/>
            <w:vAlign w:val="bottom"/>
          </w:tcPr>
          <w:p w:rsidR="00FD06F3" w:rsidRDefault="0054425B">
            <w:pPr>
              <w:widowControl w:val="0"/>
              <w:tabs>
                <w:tab w:val="decimal" w:pos="851"/>
              </w:tabs>
              <w:jc w:val="left"/>
              <w:rPr>
                <w:b/>
                <w:sz w:val="18"/>
                <w:szCs w:val="18"/>
              </w:rPr>
            </w:pPr>
            <w:r>
              <w:rPr>
                <w:b/>
                <w:sz w:val="18"/>
                <w:szCs w:val="18"/>
              </w:rPr>
              <w:t>–</w:t>
            </w:r>
          </w:p>
        </w:tc>
        <w:tc>
          <w:tcPr>
            <w:tcW w:w="1134" w:type="dxa"/>
            <w:vAlign w:val="bottom"/>
          </w:tcPr>
          <w:p w:rsidR="00FD06F3" w:rsidRDefault="0054425B">
            <w:pPr>
              <w:widowControl w:val="0"/>
              <w:tabs>
                <w:tab w:val="decimal" w:pos="851"/>
              </w:tabs>
              <w:jc w:val="left"/>
              <w:rPr>
                <w:b/>
                <w:sz w:val="18"/>
                <w:szCs w:val="18"/>
              </w:rPr>
            </w:pPr>
            <w:r>
              <w:rPr>
                <w:b/>
                <w:sz w:val="18"/>
                <w:szCs w:val="18"/>
              </w:rPr>
              <w:t>(5 552 726)</w:t>
            </w:r>
          </w:p>
        </w:tc>
      </w:tr>
      <w:tr w:rsidR="00FD06F3">
        <w:trPr>
          <w:trHeight w:val="23"/>
          <w:jc w:val="center"/>
        </w:trPr>
        <w:tc>
          <w:tcPr>
            <w:tcW w:w="2835" w:type="dxa"/>
            <w:vAlign w:val="bottom"/>
          </w:tcPr>
          <w:p w:rsidR="00FD06F3" w:rsidRDefault="0054425B">
            <w:pPr>
              <w:widowControl w:val="0"/>
              <w:ind w:left="5" w:right="-108" w:hanging="113"/>
              <w:jc w:val="left"/>
              <w:rPr>
                <w:sz w:val="18"/>
                <w:szCs w:val="18"/>
              </w:rPr>
            </w:pPr>
            <w:r>
              <w:rPr>
                <w:sz w:val="18"/>
                <w:szCs w:val="18"/>
              </w:rPr>
              <w:t>Износ</w:t>
            </w:r>
          </w:p>
        </w:tc>
        <w:tc>
          <w:tcPr>
            <w:tcW w:w="1134" w:type="dxa"/>
            <w:vAlign w:val="bottom"/>
          </w:tcPr>
          <w:p w:rsidR="00FD06F3" w:rsidRDefault="0054425B">
            <w:pPr>
              <w:pStyle w:val="Tabletext"/>
              <w:widowControl w:val="0"/>
              <w:tabs>
                <w:tab w:val="decimal" w:pos="851"/>
              </w:tabs>
              <w:jc w:val="left"/>
            </w:pPr>
            <w:r>
              <w:t>–</w:t>
            </w:r>
          </w:p>
        </w:tc>
        <w:tc>
          <w:tcPr>
            <w:tcW w:w="1134" w:type="dxa"/>
            <w:vAlign w:val="bottom"/>
          </w:tcPr>
          <w:p w:rsidR="00FD06F3" w:rsidRDefault="0054425B">
            <w:pPr>
              <w:pStyle w:val="Tabletext"/>
              <w:widowControl w:val="0"/>
              <w:tabs>
                <w:tab w:val="decimal" w:pos="851"/>
              </w:tabs>
              <w:jc w:val="left"/>
            </w:pPr>
            <w:r>
              <w:t>(80 431)</w:t>
            </w:r>
          </w:p>
        </w:tc>
        <w:tc>
          <w:tcPr>
            <w:tcW w:w="1134" w:type="dxa"/>
            <w:vAlign w:val="bottom"/>
          </w:tcPr>
          <w:p w:rsidR="00FD06F3" w:rsidRDefault="0054425B">
            <w:pPr>
              <w:pStyle w:val="Tabletext"/>
              <w:widowControl w:val="0"/>
              <w:tabs>
                <w:tab w:val="decimal" w:pos="851"/>
              </w:tabs>
              <w:jc w:val="left"/>
            </w:pPr>
            <w:r>
              <w:t>(359 363)</w:t>
            </w:r>
          </w:p>
        </w:tc>
        <w:tc>
          <w:tcPr>
            <w:tcW w:w="1134" w:type="dxa"/>
            <w:vAlign w:val="bottom"/>
          </w:tcPr>
          <w:p w:rsidR="00FD06F3" w:rsidRDefault="0054425B">
            <w:pPr>
              <w:pStyle w:val="Tabletext"/>
              <w:widowControl w:val="0"/>
              <w:tabs>
                <w:tab w:val="decimal" w:pos="851"/>
              </w:tabs>
              <w:jc w:val="left"/>
            </w:pPr>
            <w:r>
              <w:t>(15 726)</w:t>
            </w:r>
          </w:p>
        </w:tc>
        <w:tc>
          <w:tcPr>
            <w:tcW w:w="1134" w:type="dxa"/>
            <w:vAlign w:val="bottom"/>
          </w:tcPr>
          <w:p w:rsidR="00FD06F3" w:rsidRDefault="0054425B">
            <w:pPr>
              <w:pStyle w:val="Tabletext"/>
              <w:widowControl w:val="0"/>
              <w:tabs>
                <w:tab w:val="decimal" w:pos="851"/>
              </w:tabs>
              <w:jc w:val="left"/>
            </w:pPr>
            <w:r>
              <w:t>–</w:t>
            </w:r>
          </w:p>
        </w:tc>
        <w:tc>
          <w:tcPr>
            <w:tcW w:w="1134" w:type="dxa"/>
            <w:vAlign w:val="bottom"/>
          </w:tcPr>
          <w:p w:rsidR="00FD06F3" w:rsidRDefault="0054425B">
            <w:pPr>
              <w:pStyle w:val="Tabletext"/>
              <w:widowControl w:val="0"/>
              <w:tabs>
                <w:tab w:val="decimal" w:pos="851"/>
              </w:tabs>
              <w:jc w:val="left"/>
              <w:rPr>
                <w:b/>
              </w:rPr>
            </w:pPr>
            <w:r>
              <w:rPr>
                <w:b/>
              </w:rPr>
              <w:t>(455 520)</w:t>
            </w:r>
          </w:p>
        </w:tc>
      </w:tr>
      <w:tr w:rsidR="00FD06F3">
        <w:trPr>
          <w:trHeight w:val="23"/>
          <w:jc w:val="center"/>
        </w:trPr>
        <w:tc>
          <w:tcPr>
            <w:tcW w:w="2835" w:type="dxa"/>
            <w:vAlign w:val="bottom"/>
          </w:tcPr>
          <w:p w:rsidR="00FD06F3" w:rsidRDefault="0054425B">
            <w:pPr>
              <w:pStyle w:val="Tabletext"/>
              <w:widowControl w:val="0"/>
              <w:ind w:left="5" w:right="-108" w:hanging="113"/>
              <w:jc w:val="left"/>
            </w:pPr>
            <w:r>
              <w:t>Выбытия</w:t>
            </w:r>
          </w:p>
        </w:tc>
        <w:tc>
          <w:tcPr>
            <w:tcW w:w="1134" w:type="dxa"/>
            <w:tcBorders>
              <w:bottom w:val="single" w:sz="6" w:space="0" w:color="auto"/>
            </w:tcBorders>
            <w:vAlign w:val="bottom"/>
          </w:tcPr>
          <w:p w:rsidR="00FD06F3" w:rsidRDefault="0054425B">
            <w:pPr>
              <w:pStyle w:val="Tabletext"/>
              <w:widowControl w:val="0"/>
              <w:tabs>
                <w:tab w:val="decimal" w:pos="851"/>
              </w:tabs>
              <w:jc w:val="left"/>
            </w:pPr>
            <w:r>
              <w:t>–</w:t>
            </w:r>
          </w:p>
        </w:tc>
        <w:tc>
          <w:tcPr>
            <w:tcW w:w="1134" w:type="dxa"/>
            <w:tcBorders>
              <w:bottom w:val="single" w:sz="6" w:space="0" w:color="auto"/>
            </w:tcBorders>
            <w:vAlign w:val="bottom"/>
          </w:tcPr>
          <w:p w:rsidR="00FD06F3" w:rsidRDefault="0054425B">
            <w:pPr>
              <w:tabs>
                <w:tab w:val="decimal" w:pos="851"/>
              </w:tabs>
              <w:jc w:val="left"/>
              <w:rPr>
                <w:sz w:val="18"/>
                <w:szCs w:val="18"/>
              </w:rPr>
            </w:pPr>
            <w:r>
              <w:rPr>
                <w:sz w:val="18"/>
                <w:szCs w:val="18"/>
              </w:rPr>
              <w:t>–</w:t>
            </w:r>
          </w:p>
        </w:tc>
        <w:tc>
          <w:tcPr>
            <w:tcW w:w="1134" w:type="dxa"/>
            <w:tcBorders>
              <w:bottom w:val="single" w:sz="6" w:space="0" w:color="auto"/>
            </w:tcBorders>
            <w:vAlign w:val="bottom"/>
          </w:tcPr>
          <w:p w:rsidR="00FD06F3" w:rsidRDefault="0054425B">
            <w:pPr>
              <w:tabs>
                <w:tab w:val="decimal" w:pos="851"/>
              </w:tabs>
              <w:jc w:val="left"/>
              <w:rPr>
                <w:sz w:val="18"/>
                <w:szCs w:val="18"/>
              </w:rPr>
            </w:pPr>
            <w:r>
              <w:rPr>
                <w:sz w:val="18"/>
                <w:szCs w:val="18"/>
              </w:rPr>
              <w:t>44 687</w:t>
            </w:r>
          </w:p>
        </w:tc>
        <w:tc>
          <w:tcPr>
            <w:tcW w:w="1134" w:type="dxa"/>
            <w:tcBorders>
              <w:bottom w:val="single" w:sz="6" w:space="0" w:color="auto"/>
            </w:tcBorders>
            <w:vAlign w:val="bottom"/>
          </w:tcPr>
          <w:p w:rsidR="00FD06F3" w:rsidRDefault="0054425B">
            <w:pPr>
              <w:tabs>
                <w:tab w:val="decimal" w:pos="851"/>
              </w:tabs>
              <w:jc w:val="left"/>
              <w:rPr>
                <w:sz w:val="18"/>
                <w:szCs w:val="18"/>
              </w:rPr>
            </w:pPr>
            <w:r>
              <w:rPr>
                <w:sz w:val="18"/>
                <w:szCs w:val="18"/>
              </w:rPr>
              <w:t>4 399</w:t>
            </w:r>
          </w:p>
        </w:tc>
        <w:tc>
          <w:tcPr>
            <w:tcW w:w="1134" w:type="dxa"/>
            <w:tcBorders>
              <w:bottom w:val="single" w:sz="6" w:space="0" w:color="auto"/>
            </w:tcBorders>
            <w:vAlign w:val="bottom"/>
          </w:tcPr>
          <w:p w:rsidR="00FD06F3" w:rsidRDefault="0054425B">
            <w:pPr>
              <w:tabs>
                <w:tab w:val="decimal" w:pos="851"/>
              </w:tabs>
              <w:jc w:val="left"/>
              <w:rPr>
                <w:sz w:val="18"/>
                <w:szCs w:val="18"/>
              </w:rPr>
            </w:pPr>
            <w:r>
              <w:rPr>
                <w:sz w:val="18"/>
                <w:szCs w:val="18"/>
              </w:rPr>
              <w:t>–</w:t>
            </w:r>
          </w:p>
        </w:tc>
        <w:tc>
          <w:tcPr>
            <w:tcW w:w="1134" w:type="dxa"/>
            <w:tcBorders>
              <w:bottom w:val="single" w:sz="6" w:space="0" w:color="auto"/>
            </w:tcBorders>
            <w:vAlign w:val="bottom"/>
          </w:tcPr>
          <w:p w:rsidR="00FD06F3" w:rsidRDefault="0054425B">
            <w:pPr>
              <w:tabs>
                <w:tab w:val="decimal" w:pos="851"/>
              </w:tabs>
              <w:jc w:val="left"/>
              <w:rPr>
                <w:b/>
                <w:sz w:val="18"/>
                <w:szCs w:val="18"/>
              </w:rPr>
            </w:pPr>
            <w:r>
              <w:rPr>
                <w:b/>
                <w:sz w:val="18"/>
                <w:szCs w:val="18"/>
              </w:rPr>
              <w:t>49 086</w:t>
            </w:r>
          </w:p>
        </w:tc>
      </w:tr>
      <w:tr w:rsidR="00FD06F3">
        <w:trPr>
          <w:trHeight w:val="23"/>
          <w:jc w:val="center"/>
        </w:trPr>
        <w:tc>
          <w:tcPr>
            <w:tcW w:w="2835" w:type="dxa"/>
            <w:vAlign w:val="bottom"/>
          </w:tcPr>
          <w:p w:rsidR="00FD06F3" w:rsidRDefault="0054425B">
            <w:pPr>
              <w:pStyle w:val="Tabletext"/>
              <w:widowControl w:val="0"/>
              <w:ind w:left="5" w:right="-108" w:hanging="113"/>
              <w:jc w:val="left"/>
              <w:rPr>
                <w:b/>
                <w:bCs/>
              </w:rPr>
            </w:pPr>
            <w:r>
              <w:rPr>
                <w:b/>
                <w:bCs/>
              </w:rPr>
              <w:t>На 31 декабря 2016 г.</w:t>
            </w:r>
          </w:p>
        </w:tc>
        <w:tc>
          <w:tcPr>
            <w:tcW w:w="1134" w:type="dxa"/>
            <w:tcBorders>
              <w:top w:val="single" w:sz="6" w:space="0" w:color="auto"/>
              <w:bottom w:val="single" w:sz="6" w:space="0" w:color="auto"/>
            </w:tcBorders>
            <w:vAlign w:val="bottom"/>
          </w:tcPr>
          <w:p w:rsidR="00FD06F3" w:rsidRDefault="0054425B">
            <w:pPr>
              <w:pStyle w:val="Tabletext"/>
              <w:widowControl w:val="0"/>
              <w:tabs>
                <w:tab w:val="decimal" w:pos="851"/>
              </w:tabs>
              <w:jc w:val="left"/>
              <w:rPr>
                <w:b/>
                <w:bCs/>
              </w:rPr>
            </w:pPr>
            <w:r>
              <w:rPr>
                <w:b/>
                <w:bCs/>
              </w:rPr>
              <w:t>–</w:t>
            </w:r>
          </w:p>
        </w:tc>
        <w:tc>
          <w:tcPr>
            <w:tcW w:w="1134" w:type="dxa"/>
            <w:tcBorders>
              <w:top w:val="single" w:sz="6" w:space="0" w:color="auto"/>
              <w:bottom w:val="single" w:sz="6" w:space="0" w:color="auto"/>
            </w:tcBorders>
            <w:vAlign w:val="bottom"/>
          </w:tcPr>
          <w:p w:rsidR="00FD06F3" w:rsidRDefault="0054425B">
            <w:pPr>
              <w:tabs>
                <w:tab w:val="decimal" w:pos="851"/>
              </w:tabs>
              <w:jc w:val="left"/>
              <w:rPr>
                <w:b/>
                <w:sz w:val="18"/>
                <w:szCs w:val="18"/>
              </w:rPr>
            </w:pPr>
            <w:r>
              <w:rPr>
                <w:b/>
                <w:sz w:val="18"/>
                <w:szCs w:val="18"/>
              </w:rPr>
              <w:t>(1 574 198)</w:t>
            </w:r>
          </w:p>
        </w:tc>
        <w:tc>
          <w:tcPr>
            <w:tcW w:w="1134" w:type="dxa"/>
            <w:tcBorders>
              <w:top w:val="single" w:sz="6" w:space="0" w:color="auto"/>
              <w:bottom w:val="single" w:sz="6" w:space="0" w:color="auto"/>
            </w:tcBorders>
            <w:vAlign w:val="bottom"/>
          </w:tcPr>
          <w:p w:rsidR="00FD06F3" w:rsidRDefault="0054425B">
            <w:pPr>
              <w:tabs>
                <w:tab w:val="decimal" w:pos="851"/>
              </w:tabs>
              <w:jc w:val="left"/>
              <w:rPr>
                <w:b/>
                <w:sz w:val="18"/>
                <w:szCs w:val="18"/>
              </w:rPr>
            </w:pPr>
            <w:r>
              <w:rPr>
                <w:b/>
                <w:sz w:val="18"/>
                <w:szCs w:val="18"/>
              </w:rPr>
              <w:t xml:space="preserve">(4 </w:t>
            </w:r>
            <w:r>
              <w:rPr>
                <w:b/>
                <w:sz w:val="18"/>
                <w:szCs w:val="18"/>
              </w:rPr>
              <w:t>120 351)</w:t>
            </w:r>
          </w:p>
        </w:tc>
        <w:tc>
          <w:tcPr>
            <w:tcW w:w="1134" w:type="dxa"/>
            <w:tcBorders>
              <w:top w:val="single" w:sz="6" w:space="0" w:color="auto"/>
              <w:bottom w:val="single" w:sz="6" w:space="0" w:color="auto"/>
            </w:tcBorders>
            <w:vAlign w:val="bottom"/>
          </w:tcPr>
          <w:p w:rsidR="00FD06F3" w:rsidRDefault="0054425B">
            <w:pPr>
              <w:tabs>
                <w:tab w:val="decimal" w:pos="851"/>
              </w:tabs>
              <w:jc w:val="left"/>
              <w:rPr>
                <w:b/>
                <w:sz w:val="18"/>
                <w:szCs w:val="18"/>
              </w:rPr>
            </w:pPr>
            <w:r>
              <w:rPr>
                <w:b/>
                <w:sz w:val="18"/>
                <w:szCs w:val="18"/>
              </w:rPr>
              <w:t>(264 611)</w:t>
            </w:r>
          </w:p>
        </w:tc>
        <w:tc>
          <w:tcPr>
            <w:tcW w:w="1134" w:type="dxa"/>
            <w:tcBorders>
              <w:top w:val="single" w:sz="6" w:space="0" w:color="auto"/>
              <w:bottom w:val="single" w:sz="6" w:space="0" w:color="auto"/>
            </w:tcBorders>
            <w:vAlign w:val="bottom"/>
          </w:tcPr>
          <w:p w:rsidR="00FD06F3" w:rsidRDefault="0054425B">
            <w:pPr>
              <w:tabs>
                <w:tab w:val="decimal" w:pos="851"/>
              </w:tabs>
              <w:jc w:val="left"/>
              <w:rPr>
                <w:b/>
                <w:sz w:val="18"/>
                <w:szCs w:val="18"/>
              </w:rPr>
            </w:pPr>
            <w:r>
              <w:rPr>
                <w:b/>
                <w:sz w:val="18"/>
                <w:szCs w:val="18"/>
              </w:rPr>
              <w:t>–</w:t>
            </w:r>
          </w:p>
        </w:tc>
        <w:tc>
          <w:tcPr>
            <w:tcW w:w="1134" w:type="dxa"/>
            <w:tcBorders>
              <w:top w:val="single" w:sz="6" w:space="0" w:color="auto"/>
              <w:bottom w:val="single" w:sz="6" w:space="0" w:color="auto"/>
            </w:tcBorders>
            <w:vAlign w:val="bottom"/>
          </w:tcPr>
          <w:p w:rsidR="00FD06F3" w:rsidRDefault="0054425B">
            <w:pPr>
              <w:tabs>
                <w:tab w:val="decimal" w:pos="851"/>
              </w:tabs>
              <w:jc w:val="left"/>
              <w:rPr>
                <w:b/>
                <w:sz w:val="18"/>
                <w:szCs w:val="18"/>
              </w:rPr>
            </w:pPr>
            <w:r>
              <w:rPr>
                <w:b/>
                <w:sz w:val="18"/>
                <w:szCs w:val="18"/>
              </w:rPr>
              <w:t>(5 959 160)</w:t>
            </w:r>
          </w:p>
        </w:tc>
      </w:tr>
      <w:tr w:rsidR="00FD06F3">
        <w:trPr>
          <w:trHeight w:hRule="exact" w:val="113"/>
          <w:jc w:val="center"/>
        </w:trPr>
        <w:tc>
          <w:tcPr>
            <w:tcW w:w="2835" w:type="dxa"/>
            <w:vAlign w:val="bottom"/>
          </w:tcPr>
          <w:p w:rsidR="00FD06F3" w:rsidRDefault="0054425B">
            <w:pPr>
              <w:pStyle w:val="Tabletext"/>
              <w:widowControl w:val="0"/>
              <w:ind w:left="5" w:right="-108" w:hanging="113"/>
              <w:jc w:val="left"/>
              <w:rPr>
                <w:b/>
                <w:bCs/>
              </w:rPr>
            </w:pPr>
            <w:r>
              <w:rPr>
                <w:b/>
                <w:bCs/>
              </w:rPr>
              <w:t xml:space="preserve"> </w:t>
            </w:r>
          </w:p>
        </w:tc>
        <w:tc>
          <w:tcPr>
            <w:tcW w:w="1134" w:type="dxa"/>
            <w:tcBorders>
              <w:top w:val="single" w:sz="6" w:space="0" w:color="auto"/>
            </w:tcBorders>
            <w:vAlign w:val="bottom"/>
          </w:tcPr>
          <w:p w:rsidR="00FD06F3" w:rsidRDefault="00FD06F3">
            <w:pPr>
              <w:pStyle w:val="Tabletext"/>
              <w:widowControl w:val="0"/>
              <w:tabs>
                <w:tab w:val="decimal" w:pos="851"/>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851"/>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851"/>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851"/>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851"/>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851"/>
              </w:tabs>
              <w:jc w:val="left"/>
              <w:rPr>
                <w:b/>
                <w:bCs/>
              </w:rPr>
            </w:pPr>
          </w:p>
        </w:tc>
      </w:tr>
      <w:tr w:rsidR="00FD06F3">
        <w:trPr>
          <w:trHeight w:val="23"/>
          <w:jc w:val="center"/>
        </w:trPr>
        <w:tc>
          <w:tcPr>
            <w:tcW w:w="2835" w:type="dxa"/>
            <w:vAlign w:val="bottom"/>
          </w:tcPr>
          <w:p w:rsidR="00FD06F3" w:rsidRDefault="0054425B">
            <w:pPr>
              <w:pStyle w:val="Tabletext"/>
              <w:widowControl w:val="0"/>
              <w:ind w:left="5" w:right="-108" w:hanging="113"/>
              <w:jc w:val="left"/>
              <w:rPr>
                <w:b/>
                <w:bCs/>
              </w:rPr>
            </w:pPr>
            <w:r>
              <w:rPr>
                <w:b/>
                <w:bCs/>
              </w:rPr>
              <w:t>Чистая балансовая стоимость</w:t>
            </w:r>
          </w:p>
        </w:tc>
        <w:tc>
          <w:tcPr>
            <w:tcW w:w="1134" w:type="dxa"/>
            <w:vAlign w:val="bottom"/>
          </w:tcPr>
          <w:p w:rsidR="00FD06F3" w:rsidRDefault="00FD06F3">
            <w:pPr>
              <w:pStyle w:val="Tabletext"/>
              <w:widowControl w:val="0"/>
              <w:tabs>
                <w:tab w:val="decimal" w:pos="851"/>
              </w:tabs>
              <w:jc w:val="left"/>
              <w:rPr>
                <w:b/>
                <w:bCs/>
              </w:rPr>
            </w:pPr>
          </w:p>
        </w:tc>
        <w:tc>
          <w:tcPr>
            <w:tcW w:w="1134" w:type="dxa"/>
            <w:vAlign w:val="bottom"/>
          </w:tcPr>
          <w:p w:rsidR="00FD06F3" w:rsidRDefault="00FD06F3">
            <w:pPr>
              <w:pStyle w:val="Tabletext"/>
              <w:widowControl w:val="0"/>
              <w:tabs>
                <w:tab w:val="decimal" w:pos="851"/>
              </w:tabs>
              <w:jc w:val="left"/>
              <w:rPr>
                <w:b/>
                <w:bCs/>
              </w:rPr>
            </w:pPr>
          </w:p>
        </w:tc>
        <w:tc>
          <w:tcPr>
            <w:tcW w:w="1134" w:type="dxa"/>
            <w:vAlign w:val="bottom"/>
          </w:tcPr>
          <w:p w:rsidR="00FD06F3" w:rsidRDefault="00FD06F3">
            <w:pPr>
              <w:pStyle w:val="Tabletext"/>
              <w:widowControl w:val="0"/>
              <w:tabs>
                <w:tab w:val="decimal" w:pos="851"/>
              </w:tabs>
              <w:jc w:val="left"/>
              <w:rPr>
                <w:b/>
                <w:bCs/>
              </w:rPr>
            </w:pPr>
          </w:p>
        </w:tc>
        <w:tc>
          <w:tcPr>
            <w:tcW w:w="1134" w:type="dxa"/>
            <w:vAlign w:val="bottom"/>
          </w:tcPr>
          <w:p w:rsidR="00FD06F3" w:rsidRDefault="00FD06F3">
            <w:pPr>
              <w:pStyle w:val="Tabletext"/>
              <w:widowControl w:val="0"/>
              <w:tabs>
                <w:tab w:val="decimal" w:pos="851"/>
              </w:tabs>
              <w:jc w:val="left"/>
              <w:rPr>
                <w:b/>
                <w:bCs/>
              </w:rPr>
            </w:pPr>
          </w:p>
        </w:tc>
        <w:tc>
          <w:tcPr>
            <w:tcW w:w="1134" w:type="dxa"/>
            <w:vAlign w:val="bottom"/>
          </w:tcPr>
          <w:p w:rsidR="00FD06F3" w:rsidRDefault="00FD06F3">
            <w:pPr>
              <w:pStyle w:val="Tabletext"/>
              <w:widowControl w:val="0"/>
              <w:tabs>
                <w:tab w:val="decimal" w:pos="851"/>
              </w:tabs>
              <w:jc w:val="left"/>
              <w:rPr>
                <w:b/>
                <w:bCs/>
              </w:rPr>
            </w:pPr>
          </w:p>
        </w:tc>
        <w:tc>
          <w:tcPr>
            <w:tcW w:w="1134" w:type="dxa"/>
            <w:vAlign w:val="bottom"/>
          </w:tcPr>
          <w:p w:rsidR="00FD06F3" w:rsidRDefault="00FD06F3">
            <w:pPr>
              <w:pStyle w:val="Tabletext"/>
              <w:widowControl w:val="0"/>
              <w:tabs>
                <w:tab w:val="decimal" w:pos="851"/>
              </w:tabs>
              <w:jc w:val="left"/>
              <w:rPr>
                <w:b/>
                <w:bCs/>
              </w:rPr>
            </w:pPr>
          </w:p>
        </w:tc>
      </w:tr>
      <w:tr w:rsidR="00FD06F3">
        <w:trPr>
          <w:trHeight w:val="23"/>
          <w:jc w:val="center"/>
        </w:trPr>
        <w:tc>
          <w:tcPr>
            <w:tcW w:w="2835" w:type="dxa"/>
            <w:vAlign w:val="bottom"/>
          </w:tcPr>
          <w:p w:rsidR="00FD06F3" w:rsidRDefault="0054425B">
            <w:pPr>
              <w:pStyle w:val="Tabletext"/>
              <w:widowControl w:val="0"/>
              <w:ind w:left="5" w:right="-108" w:hanging="113"/>
              <w:jc w:val="left"/>
              <w:rPr>
                <w:b/>
                <w:bCs/>
              </w:rPr>
            </w:pPr>
            <w:r>
              <w:rPr>
                <w:b/>
                <w:bCs/>
              </w:rPr>
              <w:t>На 31 декабря 2015 г.</w:t>
            </w:r>
          </w:p>
        </w:tc>
        <w:tc>
          <w:tcPr>
            <w:tcW w:w="1134" w:type="dxa"/>
            <w:tcBorders>
              <w:bottom w:val="single" w:sz="12" w:space="0" w:color="auto"/>
            </w:tcBorders>
            <w:vAlign w:val="bottom"/>
          </w:tcPr>
          <w:p w:rsidR="00FD06F3" w:rsidRDefault="0054425B">
            <w:pPr>
              <w:widowControl w:val="0"/>
              <w:tabs>
                <w:tab w:val="decimal" w:pos="851"/>
              </w:tabs>
              <w:jc w:val="left"/>
              <w:rPr>
                <w:b/>
                <w:bCs/>
                <w:sz w:val="18"/>
                <w:szCs w:val="18"/>
              </w:rPr>
            </w:pPr>
            <w:r>
              <w:rPr>
                <w:b/>
                <w:bCs/>
                <w:sz w:val="18"/>
                <w:szCs w:val="18"/>
              </w:rPr>
              <w:t>11 108</w:t>
            </w:r>
          </w:p>
        </w:tc>
        <w:tc>
          <w:tcPr>
            <w:tcW w:w="1134" w:type="dxa"/>
            <w:tcBorders>
              <w:bottom w:val="single" w:sz="12" w:space="0" w:color="auto"/>
            </w:tcBorders>
            <w:vAlign w:val="bottom"/>
          </w:tcPr>
          <w:p w:rsidR="00FD06F3" w:rsidRDefault="0054425B">
            <w:pPr>
              <w:widowControl w:val="0"/>
              <w:tabs>
                <w:tab w:val="decimal" w:pos="851"/>
              </w:tabs>
              <w:jc w:val="left"/>
              <w:rPr>
                <w:b/>
                <w:bCs/>
                <w:sz w:val="18"/>
                <w:szCs w:val="18"/>
              </w:rPr>
            </w:pPr>
            <w:r>
              <w:rPr>
                <w:b/>
                <w:bCs/>
                <w:sz w:val="18"/>
                <w:szCs w:val="18"/>
              </w:rPr>
              <w:t>2 092 053</w:t>
            </w:r>
          </w:p>
        </w:tc>
        <w:tc>
          <w:tcPr>
            <w:tcW w:w="1134" w:type="dxa"/>
            <w:tcBorders>
              <w:bottom w:val="single" w:sz="12" w:space="0" w:color="auto"/>
            </w:tcBorders>
            <w:vAlign w:val="bottom"/>
          </w:tcPr>
          <w:p w:rsidR="00FD06F3" w:rsidRDefault="0054425B">
            <w:pPr>
              <w:widowControl w:val="0"/>
              <w:tabs>
                <w:tab w:val="decimal" w:pos="851"/>
              </w:tabs>
              <w:jc w:val="left"/>
              <w:rPr>
                <w:b/>
                <w:bCs/>
                <w:sz w:val="18"/>
                <w:szCs w:val="18"/>
              </w:rPr>
            </w:pPr>
            <w:r>
              <w:rPr>
                <w:b/>
                <w:bCs/>
                <w:sz w:val="18"/>
                <w:szCs w:val="18"/>
              </w:rPr>
              <w:t>1 468 823</w:t>
            </w:r>
          </w:p>
        </w:tc>
        <w:tc>
          <w:tcPr>
            <w:tcW w:w="1134" w:type="dxa"/>
            <w:tcBorders>
              <w:bottom w:val="single" w:sz="12" w:space="0" w:color="auto"/>
            </w:tcBorders>
            <w:vAlign w:val="bottom"/>
          </w:tcPr>
          <w:p w:rsidR="00FD06F3" w:rsidRDefault="0054425B">
            <w:pPr>
              <w:widowControl w:val="0"/>
              <w:tabs>
                <w:tab w:val="decimal" w:pos="851"/>
              </w:tabs>
              <w:jc w:val="left"/>
              <w:rPr>
                <w:b/>
                <w:bCs/>
                <w:sz w:val="18"/>
                <w:szCs w:val="18"/>
              </w:rPr>
            </w:pPr>
            <w:r>
              <w:rPr>
                <w:b/>
                <w:bCs/>
                <w:sz w:val="18"/>
                <w:szCs w:val="18"/>
              </w:rPr>
              <w:t>64 671</w:t>
            </w:r>
          </w:p>
        </w:tc>
        <w:tc>
          <w:tcPr>
            <w:tcW w:w="1134" w:type="dxa"/>
            <w:tcBorders>
              <w:bottom w:val="single" w:sz="12" w:space="0" w:color="auto"/>
            </w:tcBorders>
            <w:vAlign w:val="bottom"/>
          </w:tcPr>
          <w:p w:rsidR="00FD06F3" w:rsidRDefault="0054425B">
            <w:pPr>
              <w:widowControl w:val="0"/>
              <w:tabs>
                <w:tab w:val="decimal" w:pos="851"/>
              </w:tabs>
              <w:jc w:val="left"/>
              <w:rPr>
                <w:b/>
                <w:bCs/>
                <w:sz w:val="18"/>
                <w:szCs w:val="18"/>
              </w:rPr>
            </w:pPr>
            <w:r>
              <w:rPr>
                <w:b/>
                <w:bCs/>
                <w:sz w:val="18"/>
                <w:szCs w:val="18"/>
              </w:rPr>
              <w:t>408 509</w:t>
            </w:r>
          </w:p>
        </w:tc>
        <w:tc>
          <w:tcPr>
            <w:tcW w:w="1134" w:type="dxa"/>
            <w:tcBorders>
              <w:bottom w:val="single" w:sz="12" w:space="0" w:color="auto"/>
            </w:tcBorders>
            <w:vAlign w:val="bottom"/>
          </w:tcPr>
          <w:p w:rsidR="00FD06F3" w:rsidRDefault="0054425B">
            <w:pPr>
              <w:widowControl w:val="0"/>
              <w:tabs>
                <w:tab w:val="decimal" w:pos="851"/>
              </w:tabs>
              <w:jc w:val="left"/>
              <w:rPr>
                <w:b/>
                <w:bCs/>
                <w:sz w:val="18"/>
                <w:szCs w:val="18"/>
              </w:rPr>
            </w:pPr>
            <w:r>
              <w:rPr>
                <w:b/>
                <w:bCs/>
                <w:sz w:val="18"/>
                <w:szCs w:val="18"/>
              </w:rPr>
              <w:t>4 045 164</w:t>
            </w:r>
          </w:p>
        </w:tc>
      </w:tr>
      <w:tr w:rsidR="00FD06F3">
        <w:trPr>
          <w:trHeight w:val="340"/>
          <w:jc w:val="center"/>
        </w:trPr>
        <w:tc>
          <w:tcPr>
            <w:tcW w:w="2835" w:type="dxa"/>
            <w:vAlign w:val="bottom"/>
          </w:tcPr>
          <w:p w:rsidR="00FD06F3" w:rsidRDefault="0054425B">
            <w:pPr>
              <w:pStyle w:val="Tabletext"/>
              <w:widowControl w:val="0"/>
              <w:ind w:left="5" w:right="-108" w:hanging="113"/>
              <w:jc w:val="left"/>
              <w:rPr>
                <w:b/>
                <w:bCs/>
              </w:rPr>
            </w:pPr>
            <w:r>
              <w:rPr>
                <w:b/>
                <w:bCs/>
              </w:rPr>
              <w:t>На 31 декабря 2016 г.</w:t>
            </w:r>
          </w:p>
        </w:tc>
        <w:tc>
          <w:tcPr>
            <w:tcW w:w="1134" w:type="dxa"/>
            <w:tcBorders>
              <w:top w:val="single" w:sz="12" w:space="0" w:color="auto"/>
              <w:bottom w:val="single" w:sz="12" w:space="0" w:color="auto"/>
            </w:tcBorders>
            <w:vAlign w:val="bottom"/>
          </w:tcPr>
          <w:p w:rsidR="00FD06F3" w:rsidRDefault="0054425B">
            <w:pPr>
              <w:widowControl w:val="0"/>
              <w:tabs>
                <w:tab w:val="decimal" w:pos="851"/>
              </w:tabs>
              <w:jc w:val="left"/>
              <w:rPr>
                <w:b/>
                <w:bCs/>
                <w:sz w:val="18"/>
                <w:szCs w:val="18"/>
              </w:rPr>
            </w:pPr>
            <w:r>
              <w:rPr>
                <w:b/>
                <w:bCs/>
                <w:sz w:val="18"/>
                <w:szCs w:val="18"/>
              </w:rPr>
              <w:t>11 108</w:t>
            </w:r>
          </w:p>
        </w:tc>
        <w:tc>
          <w:tcPr>
            <w:tcW w:w="1134" w:type="dxa"/>
            <w:tcBorders>
              <w:top w:val="single" w:sz="12" w:space="0" w:color="auto"/>
              <w:bottom w:val="single" w:sz="12" w:space="0" w:color="auto"/>
            </w:tcBorders>
            <w:vAlign w:val="bottom"/>
          </w:tcPr>
          <w:p w:rsidR="00FD06F3" w:rsidRDefault="0054425B">
            <w:pPr>
              <w:tabs>
                <w:tab w:val="decimal" w:pos="851"/>
              </w:tabs>
              <w:jc w:val="left"/>
              <w:rPr>
                <w:b/>
                <w:bCs/>
                <w:sz w:val="18"/>
                <w:szCs w:val="18"/>
              </w:rPr>
            </w:pPr>
            <w:r>
              <w:rPr>
                <w:b/>
                <w:bCs/>
                <w:sz w:val="18"/>
                <w:szCs w:val="18"/>
              </w:rPr>
              <w:t>2 011 668</w:t>
            </w:r>
          </w:p>
        </w:tc>
        <w:tc>
          <w:tcPr>
            <w:tcW w:w="1134" w:type="dxa"/>
            <w:tcBorders>
              <w:top w:val="single" w:sz="12" w:space="0" w:color="auto"/>
              <w:bottom w:val="single" w:sz="12" w:space="0" w:color="auto"/>
            </w:tcBorders>
            <w:vAlign w:val="bottom"/>
          </w:tcPr>
          <w:p w:rsidR="00FD06F3" w:rsidRDefault="0054425B">
            <w:pPr>
              <w:tabs>
                <w:tab w:val="decimal" w:pos="851"/>
              </w:tabs>
              <w:jc w:val="left"/>
              <w:rPr>
                <w:b/>
                <w:bCs/>
                <w:sz w:val="18"/>
                <w:szCs w:val="18"/>
              </w:rPr>
            </w:pPr>
            <w:r>
              <w:rPr>
                <w:b/>
                <w:bCs/>
                <w:sz w:val="18"/>
                <w:szCs w:val="18"/>
              </w:rPr>
              <w:t>1 145 404</w:t>
            </w:r>
          </w:p>
        </w:tc>
        <w:tc>
          <w:tcPr>
            <w:tcW w:w="1134" w:type="dxa"/>
            <w:tcBorders>
              <w:top w:val="single" w:sz="12" w:space="0" w:color="auto"/>
              <w:bottom w:val="single" w:sz="12" w:space="0" w:color="auto"/>
            </w:tcBorders>
            <w:vAlign w:val="bottom"/>
          </w:tcPr>
          <w:p w:rsidR="00FD06F3" w:rsidRDefault="0054425B">
            <w:pPr>
              <w:tabs>
                <w:tab w:val="decimal" w:pos="851"/>
              </w:tabs>
              <w:jc w:val="left"/>
              <w:rPr>
                <w:b/>
                <w:bCs/>
                <w:sz w:val="18"/>
                <w:szCs w:val="18"/>
              </w:rPr>
            </w:pPr>
            <w:r>
              <w:rPr>
                <w:b/>
                <w:bCs/>
                <w:sz w:val="18"/>
                <w:szCs w:val="18"/>
              </w:rPr>
              <w:t>74 578</w:t>
            </w:r>
          </w:p>
        </w:tc>
        <w:tc>
          <w:tcPr>
            <w:tcW w:w="1134" w:type="dxa"/>
            <w:tcBorders>
              <w:top w:val="single" w:sz="12" w:space="0" w:color="auto"/>
              <w:bottom w:val="single" w:sz="12" w:space="0" w:color="auto"/>
            </w:tcBorders>
            <w:vAlign w:val="bottom"/>
          </w:tcPr>
          <w:p w:rsidR="00FD06F3" w:rsidRDefault="0054425B">
            <w:pPr>
              <w:tabs>
                <w:tab w:val="decimal" w:pos="851"/>
              </w:tabs>
              <w:jc w:val="left"/>
              <w:rPr>
                <w:b/>
                <w:bCs/>
                <w:sz w:val="18"/>
                <w:szCs w:val="18"/>
              </w:rPr>
            </w:pPr>
            <w:r>
              <w:rPr>
                <w:b/>
                <w:bCs/>
                <w:sz w:val="18"/>
                <w:szCs w:val="18"/>
              </w:rPr>
              <w:t>441 940</w:t>
            </w:r>
          </w:p>
        </w:tc>
        <w:tc>
          <w:tcPr>
            <w:tcW w:w="1134" w:type="dxa"/>
            <w:tcBorders>
              <w:top w:val="single" w:sz="12" w:space="0" w:color="auto"/>
              <w:bottom w:val="single" w:sz="12" w:space="0" w:color="auto"/>
            </w:tcBorders>
            <w:vAlign w:val="bottom"/>
          </w:tcPr>
          <w:p w:rsidR="00FD06F3" w:rsidRDefault="0054425B">
            <w:pPr>
              <w:tabs>
                <w:tab w:val="decimal" w:pos="851"/>
              </w:tabs>
              <w:jc w:val="left"/>
              <w:rPr>
                <w:b/>
                <w:bCs/>
                <w:sz w:val="18"/>
                <w:szCs w:val="18"/>
              </w:rPr>
            </w:pPr>
            <w:r>
              <w:rPr>
                <w:b/>
                <w:bCs/>
                <w:sz w:val="18"/>
                <w:szCs w:val="18"/>
              </w:rPr>
              <w:t>3 684 698</w:t>
            </w:r>
          </w:p>
        </w:tc>
      </w:tr>
    </w:tbl>
    <w:p w:rsidR="00FD06F3" w:rsidRDefault="00FD06F3">
      <w:pPr>
        <w:widowControl w:val="0"/>
        <w:rPr>
          <w:sz w:val="18"/>
        </w:rPr>
      </w:pPr>
    </w:p>
    <w:p w:rsidR="00FD06F3" w:rsidRDefault="0054425B">
      <w:pPr>
        <w:widowControl w:val="0"/>
      </w:pPr>
      <w:r>
        <w:t xml:space="preserve">По состоянию на 31 декабря 2017 г. в Группе были основных средства в залоге на 168 883 тыс. руб. (2016 год: 168 883 тыс. руб.). </w:t>
      </w:r>
    </w:p>
    <w:p w:rsidR="00FD06F3" w:rsidRDefault="00FD06F3">
      <w:pPr>
        <w:widowControl w:val="0"/>
      </w:pPr>
    </w:p>
    <w:p w:rsidR="00FD06F3" w:rsidRDefault="0054425B">
      <w:pPr>
        <w:widowControl w:val="0"/>
      </w:pPr>
      <w:r>
        <w:t xml:space="preserve">По состоянию на 31 декабря 2017 г. в состав основных средств входят полностью амортизированные основные средства на 1 768 046 </w:t>
      </w:r>
      <w:r>
        <w:t>тыс. руб. (2016 год: 1 695 103 тыс. руб.).</w:t>
      </w:r>
    </w:p>
    <w:p w:rsidR="00FD06F3" w:rsidRDefault="00FD06F3">
      <w:pPr>
        <w:widowControl w:val="0"/>
      </w:pPr>
    </w:p>
    <w:p w:rsidR="00FD06F3" w:rsidRDefault="0054425B">
      <w:pPr>
        <w:widowControl w:val="0"/>
      </w:pPr>
      <w:r>
        <w:t>Группа имеет неиспользуемые объекты основных средств на сумму 15 146 тыс. руб. (2016 год: 16 637  тыс. руб.).</w:t>
      </w:r>
      <w:r>
        <w:br w:type="page"/>
      </w:r>
    </w:p>
    <w:p w:rsidR="00FD06F3" w:rsidRDefault="0054425B">
      <w:pPr>
        <w:pStyle w:val="12"/>
      </w:pPr>
      <w:bookmarkStart w:id="85" w:name="_Toc354762884"/>
      <w:bookmarkStart w:id="86" w:name="_Toc356225089"/>
      <w:bookmarkStart w:id="87" w:name="_Toc387743854"/>
      <w:bookmarkStart w:id="88" w:name="_Toc387743932"/>
      <w:bookmarkStart w:id="89" w:name="_Toc512452520"/>
      <w:r>
        <w:lastRenderedPageBreak/>
        <w:t>7.</w:t>
      </w:r>
      <w:r>
        <w:tab/>
        <w:t>Запасы</w:t>
      </w:r>
      <w:bookmarkEnd w:id="85"/>
      <w:bookmarkEnd w:id="86"/>
      <w:bookmarkEnd w:id="87"/>
      <w:bookmarkEnd w:id="88"/>
      <w:bookmarkEnd w:id="89"/>
    </w:p>
    <w:p w:rsidR="00FD06F3" w:rsidRDefault="00FD06F3">
      <w:pPr>
        <w:widowControl w:val="0"/>
      </w:pPr>
    </w:p>
    <w:p w:rsidR="00FD06F3" w:rsidRDefault="0054425B">
      <w:pPr>
        <w:widowControl w:val="0"/>
      </w:pPr>
      <w:r>
        <w:t>Запасы Группы на 31 декабря 2017 и 2016 гг. представлены ниже:</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widowControl w:val="0"/>
              <w:ind w:left="5" w:right="-108" w:hanging="113"/>
              <w:jc w:val="left"/>
              <w:rPr>
                <w:b/>
                <w:bCs/>
                <w:sz w:val="18"/>
                <w:szCs w:val="18"/>
              </w:rPr>
            </w:pPr>
          </w:p>
        </w:tc>
        <w:tc>
          <w:tcPr>
            <w:tcW w:w="1701" w:type="dxa"/>
            <w:tcBorders>
              <w:bottom w:val="single" w:sz="6" w:space="0" w:color="auto"/>
            </w:tcBorders>
            <w:vAlign w:val="bottom"/>
          </w:tcPr>
          <w:p w:rsidR="00FD06F3" w:rsidRDefault="0054425B">
            <w:pPr>
              <w:widowControl w:val="0"/>
              <w:ind w:left="-108" w:right="-108"/>
              <w:jc w:val="center"/>
              <w:rPr>
                <w:b/>
                <w:bCs/>
                <w:sz w:val="18"/>
                <w:szCs w:val="18"/>
              </w:rPr>
            </w:pPr>
            <w:r>
              <w:rPr>
                <w:b/>
                <w:bCs/>
                <w:sz w:val="18"/>
                <w:szCs w:val="18"/>
              </w:rPr>
              <w:t>2017 г.</w:t>
            </w:r>
          </w:p>
        </w:tc>
        <w:tc>
          <w:tcPr>
            <w:tcW w:w="1701" w:type="dxa"/>
            <w:tcBorders>
              <w:bottom w:val="single" w:sz="6" w:space="0" w:color="auto"/>
            </w:tcBorders>
            <w:vAlign w:val="bottom"/>
          </w:tcPr>
          <w:p w:rsidR="00FD06F3" w:rsidRDefault="0054425B">
            <w:pPr>
              <w:widowControl w:val="0"/>
              <w:ind w:left="-108" w:right="-108"/>
              <w:jc w:val="center"/>
              <w:rPr>
                <w:b/>
                <w:bCs/>
                <w:sz w:val="18"/>
                <w:szCs w:val="18"/>
              </w:rPr>
            </w:pPr>
            <w:r>
              <w:rPr>
                <w:b/>
                <w:bCs/>
                <w:sz w:val="18"/>
                <w:szCs w:val="18"/>
              </w:rPr>
              <w:t>2016 г.</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Сырье, з</w:t>
            </w:r>
            <w:r>
              <w:t>а вычетом резерва под обесценение в размере 10 566 тыс. руб. (2016 год: 8 762 тыс. руб.)</w:t>
            </w:r>
          </w:p>
        </w:tc>
        <w:tc>
          <w:tcPr>
            <w:tcW w:w="1701" w:type="dxa"/>
            <w:tcBorders>
              <w:top w:val="single" w:sz="6" w:space="0" w:color="auto"/>
            </w:tcBorders>
            <w:vAlign w:val="bottom"/>
          </w:tcPr>
          <w:p w:rsidR="00FD06F3" w:rsidRDefault="0054425B">
            <w:pPr>
              <w:tabs>
                <w:tab w:val="decimal" w:pos="1247"/>
              </w:tabs>
              <w:jc w:val="left"/>
              <w:rPr>
                <w:sz w:val="18"/>
                <w:szCs w:val="18"/>
              </w:rPr>
            </w:pPr>
            <w:r>
              <w:rPr>
                <w:sz w:val="18"/>
                <w:szCs w:val="18"/>
              </w:rPr>
              <w:t>1 322 982</w:t>
            </w:r>
          </w:p>
        </w:tc>
        <w:tc>
          <w:tcPr>
            <w:tcW w:w="1701" w:type="dxa"/>
            <w:tcBorders>
              <w:top w:val="single" w:sz="6" w:space="0" w:color="auto"/>
            </w:tcBorders>
            <w:vAlign w:val="bottom"/>
          </w:tcPr>
          <w:p w:rsidR="00FD06F3" w:rsidRDefault="0054425B">
            <w:pPr>
              <w:tabs>
                <w:tab w:val="decimal" w:pos="1247"/>
              </w:tabs>
              <w:jc w:val="left"/>
              <w:rPr>
                <w:sz w:val="18"/>
                <w:szCs w:val="18"/>
              </w:rPr>
            </w:pPr>
            <w:r>
              <w:rPr>
                <w:sz w:val="18"/>
                <w:szCs w:val="18"/>
              </w:rPr>
              <w:t>1 507 542</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Незавершенное производство и полуфабрикаты</w:t>
            </w:r>
          </w:p>
        </w:tc>
        <w:tc>
          <w:tcPr>
            <w:tcW w:w="1701" w:type="dxa"/>
            <w:vAlign w:val="bottom"/>
          </w:tcPr>
          <w:p w:rsidR="00FD06F3" w:rsidRDefault="0054425B">
            <w:pPr>
              <w:tabs>
                <w:tab w:val="decimal" w:pos="1247"/>
              </w:tabs>
              <w:jc w:val="left"/>
              <w:rPr>
                <w:sz w:val="18"/>
                <w:szCs w:val="18"/>
              </w:rPr>
            </w:pPr>
            <w:r>
              <w:rPr>
                <w:sz w:val="18"/>
                <w:szCs w:val="18"/>
              </w:rPr>
              <w:t>41 444</w:t>
            </w:r>
          </w:p>
        </w:tc>
        <w:tc>
          <w:tcPr>
            <w:tcW w:w="1701" w:type="dxa"/>
            <w:vAlign w:val="bottom"/>
          </w:tcPr>
          <w:p w:rsidR="00FD06F3" w:rsidRDefault="0054425B">
            <w:pPr>
              <w:tabs>
                <w:tab w:val="decimal" w:pos="1247"/>
              </w:tabs>
              <w:jc w:val="left"/>
              <w:rPr>
                <w:sz w:val="18"/>
                <w:szCs w:val="18"/>
              </w:rPr>
            </w:pPr>
            <w:r>
              <w:rPr>
                <w:sz w:val="18"/>
                <w:szCs w:val="18"/>
              </w:rPr>
              <w:t>66 651</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Готовая продукция и товары для перепродажи</w:t>
            </w:r>
          </w:p>
        </w:tc>
        <w:tc>
          <w:tcPr>
            <w:tcW w:w="1701" w:type="dxa"/>
            <w:tcBorders>
              <w:bottom w:val="single" w:sz="6" w:space="0" w:color="auto"/>
            </w:tcBorders>
            <w:vAlign w:val="bottom"/>
          </w:tcPr>
          <w:p w:rsidR="00FD06F3" w:rsidRDefault="0054425B">
            <w:pPr>
              <w:tabs>
                <w:tab w:val="decimal" w:pos="1247"/>
              </w:tabs>
              <w:jc w:val="left"/>
              <w:rPr>
                <w:sz w:val="18"/>
                <w:szCs w:val="18"/>
              </w:rPr>
            </w:pPr>
            <w:r>
              <w:rPr>
                <w:sz w:val="18"/>
                <w:szCs w:val="18"/>
              </w:rPr>
              <w:t>23 474</w:t>
            </w:r>
          </w:p>
        </w:tc>
        <w:tc>
          <w:tcPr>
            <w:tcW w:w="1701" w:type="dxa"/>
            <w:tcBorders>
              <w:bottom w:val="single" w:sz="6" w:space="0" w:color="auto"/>
            </w:tcBorders>
            <w:vAlign w:val="bottom"/>
          </w:tcPr>
          <w:p w:rsidR="00FD06F3" w:rsidRDefault="0054425B">
            <w:pPr>
              <w:tabs>
                <w:tab w:val="decimal" w:pos="1247"/>
              </w:tabs>
              <w:jc w:val="left"/>
              <w:rPr>
                <w:sz w:val="18"/>
                <w:szCs w:val="18"/>
              </w:rPr>
            </w:pPr>
            <w:r>
              <w:rPr>
                <w:sz w:val="18"/>
                <w:szCs w:val="18"/>
              </w:rPr>
              <w:t>55 036</w:t>
            </w:r>
          </w:p>
        </w:tc>
      </w:tr>
      <w:tr w:rsidR="00FD06F3">
        <w:trPr>
          <w:trHeight w:val="340"/>
          <w:jc w:val="center"/>
        </w:trPr>
        <w:tc>
          <w:tcPr>
            <w:tcW w:w="6236" w:type="dxa"/>
            <w:tcBorders>
              <w:bottom w:val="nil"/>
            </w:tcBorders>
            <w:vAlign w:val="bottom"/>
          </w:tcPr>
          <w:p w:rsidR="00FD06F3" w:rsidRDefault="00FD06F3">
            <w:pPr>
              <w:pStyle w:val="Tabletext"/>
              <w:widowControl w:val="0"/>
              <w:ind w:left="5" w:right="-108" w:hanging="113"/>
              <w:jc w:val="left"/>
            </w:pPr>
          </w:p>
        </w:tc>
        <w:tc>
          <w:tcPr>
            <w:tcW w:w="1701" w:type="dxa"/>
            <w:tcBorders>
              <w:top w:val="single" w:sz="6" w:space="0" w:color="auto"/>
              <w:bottom w:val="single" w:sz="12" w:space="0" w:color="auto"/>
            </w:tcBorders>
            <w:vAlign w:val="bottom"/>
          </w:tcPr>
          <w:p w:rsidR="00FD06F3" w:rsidRDefault="0054425B">
            <w:pPr>
              <w:tabs>
                <w:tab w:val="decimal" w:pos="1247"/>
              </w:tabs>
              <w:jc w:val="left"/>
              <w:rPr>
                <w:b/>
                <w:sz w:val="18"/>
                <w:szCs w:val="18"/>
              </w:rPr>
            </w:pPr>
            <w:r>
              <w:rPr>
                <w:b/>
                <w:sz w:val="18"/>
                <w:szCs w:val="18"/>
              </w:rPr>
              <w:t>1 387 900</w:t>
            </w:r>
          </w:p>
        </w:tc>
        <w:tc>
          <w:tcPr>
            <w:tcW w:w="1701" w:type="dxa"/>
            <w:tcBorders>
              <w:top w:val="single" w:sz="6" w:space="0" w:color="auto"/>
              <w:bottom w:val="single" w:sz="12" w:space="0" w:color="auto"/>
            </w:tcBorders>
            <w:vAlign w:val="bottom"/>
          </w:tcPr>
          <w:p w:rsidR="00FD06F3" w:rsidRDefault="0054425B">
            <w:pPr>
              <w:tabs>
                <w:tab w:val="decimal" w:pos="1247"/>
              </w:tabs>
              <w:jc w:val="left"/>
              <w:rPr>
                <w:b/>
                <w:sz w:val="18"/>
                <w:szCs w:val="18"/>
              </w:rPr>
            </w:pPr>
            <w:r>
              <w:rPr>
                <w:b/>
                <w:sz w:val="18"/>
                <w:szCs w:val="18"/>
              </w:rPr>
              <w:t>1 629 229</w:t>
            </w:r>
          </w:p>
        </w:tc>
      </w:tr>
    </w:tbl>
    <w:p w:rsidR="00FD06F3" w:rsidRDefault="00FD06F3">
      <w:pPr>
        <w:widowControl w:val="0"/>
      </w:pPr>
    </w:p>
    <w:p w:rsidR="00FD06F3" w:rsidRDefault="0054425B">
      <w:pPr>
        <w:widowControl w:val="0"/>
      </w:pPr>
      <w:r>
        <w:t xml:space="preserve">На 31 </w:t>
      </w:r>
      <w:r>
        <w:t>декабря 2017 и 2016 гг. запасы не использовались в качестве обеспечения и не имели ограничений по использованию.</w:t>
      </w:r>
    </w:p>
    <w:p w:rsidR="00FD06F3" w:rsidRDefault="00FD06F3">
      <w:pPr>
        <w:widowControl w:val="0"/>
      </w:pPr>
    </w:p>
    <w:p w:rsidR="00FD06F3" w:rsidRDefault="00FD06F3">
      <w:pPr>
        <w:widowControl w:val="0"/>
      </w:pPr>
    </w:p>
    <w:p w:rsidR="00FD06F3" w:rsidRDefault="0054425B">
      <w:pPr>
        <w:pStyle w:val="12"/>
      </w:pPr>
      <w:bookmarkStart w:id="90" w:name="_Toc387743855"/>
      <w:bookmarkStart w:id="91" w:name="_Toc387743933"/>
      <w:bookmarkStart w:id="92" w:name="_Toc512452521"/>
      <w:r>
        <w:t>8.</w:t>
      </w:r>
      <w:r>
        <w:tab/>
        <w:t>Торговая и прочая дебиторская задолженность</w:t>
      </w:r>
      <w:bookmarkEnd w:id="90"/>
      <w:bookmarkEnd w:id="91"/>
      <w:bookmarkEnd w:id="92"/>
    </w:p>
    <w:p w:rsidR="00FD06F3" w:rsidRDefault="00FD06F3">
      <w:pPr>
        <w:widowControl w:val="0"/>
      </w:pPr>
    </w:p>
    <w:p w:rsidR="00FD06F3" w:rsidRDefault="0054425B">
      <w:pPr>
        <w:widowControl w:val="0"/>
      </w:pPr>
      <w:r>
        <w:t>Торговая и прочая дебиторская задолженность Группы на 31 декабря 2017 и 2016 гг. представлена</w:t>
      </w:r>
      <w:r>
        <w:t xml:space="preserve"> ниже:</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widowControl w:val="0"/>
              <w:ind w:left="5" w:right="-108" w:hanging="113"/>
              <w:jc w:val="left"/>
              <w:rPr>
                <w:b/>
                <w:bCs/>
                <w:sz w:val="18"/>
                <w:szCs w:val="18"/>
              </w:rPr>
            </w:pPr>
          </w:p>
        </w:tc>
        <w:tc>
          <w:tcPr>
            <w:tcW w:w="1701" w:type="dxa"/>
            <w:tcBorders>
              <w:bottom w:val="single" w:sz="6" w:space="0" w:color="auto"/>
            </w:tcBorders>
            <w:vAlign w:val="bottom"/>
          </w:tcPr>
          <w:p w:rsidR="00FD06F3" w:rsidRDefault="0054425B">
            <w:pPr>
              <w:widowControl w:val="0"/>
              <w:ind w:left="-108" w:right="-108"/>
              <w:jc w:val="center"/>
              <w:rPr>
                <w:b/>
                <w:bCs/>
                <w:sz w:val="18"/>
                <w:szCs w:val="18"/>
              </w:rPr>
            </w:pPr>
            <w:r>
              <w:rPr>
                <w:b/>
                <w:bCs/>
                <w:sz w:val="18"/>
                <w:szCs w:val="18"/>
              </w:rPr>
              <w:t>2017 г.</w:t>
            </w:r>
          </w:p>
        </w:tc>
        <w:tc>
          <w:tcPr>
            <w:tcW w:w="1701" w:type="dxa"/>
            <w:tcBorders>
              <w:bottom w:val="single" w:sz="6" w:space="0" w:color="auto"/>
            </w:tcBorders>
            <w:vAlign w:val="bottom"/>
          </w:tcPr>
          <w:p w:rsidR="00FD06F3" w:rsidRDefault="0054425B">
            <w:pPr>
              <w:widowControl w:val="0"/>
              <w:ind w:left="-108" w:right="-108"/>
              <w:jc w:val="center"/>
              <w:rPr>
                <w:b/>
                <w:bCs/>
                <w:sz w:val="18"/>
                <w:szCs w:val="18"/>
              </w:rPr>
            </w:pPr>
            <w:r>
              <w:rPr>
                <w:b/>
                <w:bCs/>
                <w:sz w:val="18"/>
                <w:szCs w:val="18"/>
              </w:rPr>
              <w:t>2016 г.</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Торговая и прочая дебиторская задолженность третьих лиц (за вычетом резерва под обесценение торговой дебиторской задолженности в размере 84 257 тыс. руб. (2016 год: 70 878 тыс. руб.)</w:t>
            </w:r>
          </w:p>
        </w:tc>
        <w:tc>
          <w:tcPr>
            <w:tcW w:w="1701" w:type="dxa"/>
            <w:tcBorders>
              <w:top w:val="single" w:sz="6" w:space="0" w:color="auto"/>
            </w:tcBorders>
            <w:vAlign w:val="bottom"/>
          </w:tcPr>
          <w:p w:rsidR="00FD06F3" w:rsidRDefault="0054425B">
            <w:pPr>
              <w:tabs>
                <w:tab w:val="decimal" w:pos="1247"/>
              </w:tabs>
              <w:jc w:val="left"/>
              <w:rPr>
                <w:sz w:val="18"/>
                <w:szCs w:val="18"/>
              </w:rPr>
            </w:pPr>
            <w:r>
              <w:rPr>
                <w:sz w:val="18"/>
                <w:szCs w:val="18"/>
              </w:rPr>
              <w:t>291 510</w:t>
            </w:r>
          </w:p>
        </w:tc>
        <w:tc>
          <w:tcPr>
            <w:tcW w:w="1701" w:type="dxa"/>
            <w:tcBorders>
              <w:top w:val="single" w:sz="6" w:space="0" w:color="auto"/>
            </w:tcBorders>
            <w:vAlign w:val="bottom"/>
          </w:tcPr>
          <w:p w:rsidR="00FD06F3" w:rsidRDefault="0054425B">
            <w:pPr>
              <w:tabs>
                <w:tab w:val="decimal" w:pos="1247"/>
              </w:tabs>
              <w:jc w:val="left"/>
              <w:rPr>
                <w:sz w:val="18"/>
                <w:szCs w:val="18"/>
              </w:rPr>
            </w:pPr>
            <w:r>
              <w:rPr>
                <w:sz w:val="18"/>
                <w:szCs w:val="18"/>
              </w:rPr>
              <w:t>249 681</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 xml:space="preserve">Торговая дебиторская </w:t>
            </w:r>
            <w:r>
              <w:t>задолженность связанных сторон</w:t>
            </w:r>
          </w:p>
        </w:tc>
        <w:tc>
          <w:tcPr>
            <w:tcW w:w="1701" w:type="dxa"/>
            <w:vAlign w:val="bottom"/>
          </w:tcPr>
          <w:p w:rsidR="00FD06F3" w:rsidRDefault="0054425B">
            <w:pPr>
              <w:tabs>
                <w:tab w:val="decimal" w:pos="1247"/>
              </w:tabs>
              <w:jc w:val="left"/>
              <w:rPr>
                <w:sz w:val="18"/>
                <w:szCs w:val="18"/>
              </w:rPr>
            </w:pPr>
            <w:r>
              <w:rPr>
                <w:sz w:val="18"/>
                <w:szCs w:val="18"/>
              </w:rPr>
              <w:t>3 733 934</w:t>
            </w:r>
          </w:p>
        </w:tc>
        <w:tc>
          <w:tcPr>
            <w:tcW w:w="1701" w:type="dxa"/>
            <w:vAlign w:val="bottom"/>
          </w:tcPr>
          <w:p w:rsidR="00FD06F3" w:rsidRDefault="0054425B">
            <w:pPr>
              <w:tabs>
                <w:tab w:val="decimal" w:pos="1247"/>
              </w:tabs>
              <w:jc w:val="left"/>
              <w:rPr>
                <w:sz w:val="18"/>
                <w:szCs w:val="18"/>
              </w:rPr>
            </w:pPr>
            <w:r>
              <w:rPr>
                <w:sz w:val="18"/>
                <w:szCs w:val="18"/>
              </w:rPr>
              <w:t>3 274 130</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Предоплата (за вычетом резерва под обесценение предоплаты в размере 8</w:t>
            </w:r>
            <w:r>
              <w:rPr>
                <w:lang w:val="en-US"/>
              </w:rPr>
              <w:t> </w:t>
            </w:r>
            <w:r>
              <w:t>826 тыс. руб. (2016 год: 892 тыс. руб.) </w:t>
            </w:r>
          </w:p>
        </w:tc>
        <w:tc>
          <w:tcPr>
            <w:tcW w:w="1701" w:type="dxa"/>
            <w:vAlign w:val="bottom"/>
          </w:tcPr>
          <w:p w:rsidR="00FD06F3" w:rsidRDefault="0054425B">
            <w:pPr>
              <w:tabs>
                <w:tab w:val="decimal" w:pos="1247"/>
              </w:tabs>
              <w:jc w:val="left"/>
              <w:rPr>
                <w:sz w:val="18"/>
                <w:szCs w:val="18"/>
              </w:rPr>
            </w:pPr>
            <w:r>
              <w:rPr>
                <w:sz w:val="18"/>
                <w:szCs w:val="18"/>
              </w:rPr>
              <w:t>67 380</w:t>
            </w:r>
          </w:p>
        </w:tc>
        <w:tc>
          <w:tcPr>
            <w:tcW w:w="1701" w:type="dxa"/>
            <w:vAlign w:val="bottom"/>
          </w:tcPr>
          <w:p w:rsidR="00FD06F3" w:rsidRDefault="0054425B">
            <w:pPr>
              <w:tabs>
                <w:tab w:val="decimal" w:pos="1247"/>
              </w:tabs>
              <w:jc w:val="left"/>
              <w:rPr>
                <w:sz w:val="18"/>
                <w:szCs w:val="18"/>
              </w:rPr>
            </w:pPr>
            <w:r>
              <w:rPr>
                <w:sz w:val="18"/>
                <w:szCs w:val="18"/>
              </w:rPr>
              <w:t>63 476</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Налоги к возмещению</w:t>
            </w:r>
          </w:p>
        </w:tc>
        <w:tc>
          <w:tcPr>
            <w:tcW w:w="1701" w:type="dxa"/>
            <w:tcBorders>
              <w:bottom w:val="single" w:sz="6" w:space="0" w:color="auto"/>
            </w:tcBorders>
            <w:vAlign w:val="bottom"/>
          </w:tcPr>
          <w:p w:rsidR="00FD06F3" w:rsidRDefault="0054425B">
            <w:pPr>
              <w:tabs>
                <w:tab w:val="decimal" w:pos="1247"/>
              </w:tabs>
              <w:jc w:val="left"/>
              <w:rPr>
                <w:sz w:val="18"/>
                <w:szCs w:val="18"/>
              </w:rPr>
            </w:pPr>
            <w:r>
              <w:rPr>
                <w:sz w:val="18"/>
                <w:szCs w:val="18"/>
              </w:rPr>
              <w:t>12 955</w:t>
            </w:r>
          </w:p>
        </w:tc>
        <w:tc>
          <w:tcPr>
            <w:tcW w:w="1701" w:type="dxa"/>
            <w:tcBorders>
              <w:bottom w:val="single" w:sz="6" w:space="0" w:color="auto"/>
            </w:tcBorders>
            <w:vAlign w:val="bottom"/>
          </w:tcPr>
          <w:p w:rsidR="00FD06F3" w:rsidRDefault="0054425B">
            <w:pPr>
              <w:tabs>
                <w:tab w:val="decimal" w:pos="1247"/>
              </w:tabs>
              <w:jc w:val="left"/>
              <w:rPr>
                <w:sz w:val="18"/>
                <w:szCs w:val="18"/>
              </w:rPr>
            </w:pPr>
            <w:r>
              <w:rPr>
                <w:sz w:val="18"/>
                <w:szCs w:val="18"/>
              </w:rPr>
              <w:t>24 261</w:t>
            </w:r>
          </w:p>
        </w:tc>
      </w:tr>
      <w:tr w:rsidR="00FD06F3">
        <w:trPr>
          <w:trHeight w:val="340"/>
          <w:jc w:val="center"/>
        </w:trPr>
        <w:tc>
          <w:tcPr>
            <w:tcW w:w="6236" w:type="dxa"/>
            <w:tcBorders>
              <w:bottom w:val="nil"/>
            </w:tcBorders>
            <w:vAlign w:val="bottom"/>
          </w:tcPr>
          <w:p w:rsidR="00FD06F3" w:rsidRDefault="00FD06F3">
            <w:pPr>
              <w:pStyle w:val="Tabletext"/>
              <w:widowControl w:val="0"/>
              <w:ind w:left="5" w:right="-108" w:hanging="113"/>
              <w:jc w:val="left"/>
            </w:pPr>
          </w:p>
        </w:tc>
        <w:tc>
          <w:tcPr>
            <w:tcW w:w="1701" w:type="dxa"/>
            <w:tcBorders>
              <w:top w:val="single" w:sz="6" w:space="0" w:color="auto"/>
              <w:bottom w:val="single" w:sz="12" w:space="0" w:color="auto"/>
            </w:tcBorders>
            <w:vAlign w:val="bottom"/>
          </w:tcPr>
          <w:p w:rsidR="00FD06F3" w:rsidRDefault="0054425B">
            <w:pPr>
              <w:widowControl w:val="0"/>
              <w:tabs>
                <w:tab w:val="decimal" w:pos="1247"/>
              </w:tabs>
              <w:jc w:val="left"/>
              <w:rPr>
                <w:b/>
                <w:bCs/>
                <w:sz w:val="18"/>
                <w:szCs w:val="18"/>
                <w:highlight w:val="yellow"/>
              </w:rPr>
            </w:pPr>
            <w:r>
              <w:rPr>
                <w:b/>
                <w:bCs/>
                <w:sz w:val="18"/>
                <w:szCs w:val="18"/>
              </w:rPr>
              <w:t>4 105 779</w:t>
            </w:r>
          </w:p>
        </w:tc>
        <w:tc>
          <w:tcPr>
            <w:tcW w:w="1701" w:type="dxa"/>
            <w:tcBorders>
              <w:top w:val="single" w:sz="6" w:space="0" w:color="auto"/>
              <w:bottom w:val="single" w:sz="12" w:space="0" w:color="auto"/>
            </w:tcBorders>
            <w:vAlign w:val="bottom"/>
          </w:tcPr>
          <w:p w:rsidR="00FD06F3" w:rsidRDefault="0054425B">
            <w:pPr>
              <w:widowControl w:val="0"/>
              <w:tabs>
                <w:tab w:val="decimal" w:pos="1247"/>
              </w:tabs>
              <w:jc w:val="left"/>
              <w:rPr>
                <w:b/>
                <w:bCs/>
                <w:sz w:val="18"/>
                <w:szCs w:val="18"/>
                <w:highlight w:val="yellow"/>
              </w:rPr>
            </w:pPr>
            <w:r>
              <w:rPr>
                <w:b/>
                <w:bCs/>
                <w:sz w:val="18"/>
                <w:szCs w:val="18"/>
              </w:rPr>
              <w:t>3 611 548</w:t>
            </w:r>
          </w:p>
        </w:tc>
      </w:tr>
    </w:tbl>
    <w:p w:rsidR="00FD06F3" w:rsidRDefault="00FD06F3">
      <w:pPr>
        <w:widowControl w:val="0"/>
      </w:pPr>
    </w:p>
    <w:p w:rsidR="00FD06F3" w:rsidRDefault="0054425B">
      <w:pPr>
        <w:widowControl w:val="0"/>
      </w:pPr>
      <w:r>
        <w:t xml:space="preserve">Ниже представлен </w:t>
      </w:r>
      <w:r>
        <w:t>анализ изменений резерва под обесценение торговой дебиторской задолженности и предоплаты:</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pStyle w:val="Tabletext"/>
              <w:widowControl w:val="0"/>
              <w:ind w:left="5" w:right="-108" w:hanging="113"/>
              <w:jc w:val="left"/>
              <w:rPr>
                <w:b/>
                <w:bCs/>
              </w:rPr>
            </w:pPr>
          </w:p>
        </w:tc>
        <w:tc>
          <w:tcPr>
            <w:tcW w:w="1701" w:type="dxa"/>
            <w:tcBorders>
              <w:bottom w:val="single" w:sz="6" w:space="0" w:color="auto"/>
            </w:tcBorders>
            <w:vAlign w:val="bottom"/>
          </w:tcPr>
          <w:p w:rsidR="00FD06F3" w:rsidRDefault="0054425B">
            <w:pPr>
              <w:pStyle w:val="Tabletext"/>
              <w:widowControl w:val="0"/>
              <w:ind w:left="-108" w:right="-108"/>
              <w:jc w:val="center"/>
              <w:rPr>
                <w:b/>
                <w:bCs/>
              </w:rPr>
            </w:pPr>
            <w:r>
              <w:rPr>
                <w:b/>
                <w:bCs/>
              </w:rPr>
              <w:t>2017 г.</w:t>
            </w:r>
          </w:p>
        </w:tc>
        <w:tc>
          <w:tcPr>
            <w:tcW w:w="1701" w:type="dxa"/>
            <w:tcBorders>
              <w:bottom w:val="single" w:sz="6" w:space="0" w:color="auto"/>
            </w:tcBorders>
            <w:vAlign w:val="bottom"/>
          </w:tcPr>
          <w:p w:rsidR="00FD06F3" w:rsidRDefault="0054425B">
            <w:pPr>
              <w:pStyle w:val="Tabletext"/>
              <w:widowControl w:val="0"/>
              <w:ind w:left="-108" w:right="-108"/>
              <w:jc w:val="center"/>
              <w:rPr>
                <w:b/>
                <w:bCs/>
              </w:rPr>
            </w:pPr>
            <w:r>
              <w:rPr>
                <w:b/>
                <w:bCs/>
              </w:rPr>
              <w:t>2016 г.</w:t>
            </w:r>
          </w:p>
        </w:tc>
      </w:tr>
      <w:tr w:rsidR="00FD06F3">
        <w:trPr>
          <w:trHeight w:val="340"/>
          <w:jc w:val="center"/>
        </w:trPr>
        <w:tc>
          <w:tcPr>
            <w:tcW w:w="6236" w:type="dxa"/>
            <w:vAlign w:val="bottom"/>
          </w:tcPr>
          <w:p w:rsidR="00FD06F3" w:rsidRDefault="0054425B">
            <w:pPr>
              <w:pStyle w:val="Tabletext"/>
              <w:widowControl w:val="0"/>
              <w:ind w:left="5" w:right="-108" w:hanging="113"/>
              <w:jc w:val="left"/>
              <w:rPr>
                <w:b/>
                <w:bCs/>
              </w:rPr>
            </w:pPr>
            <w:r>
              <w:rPr>
                <w:b/>
                <w:bCs/>
              </w:rPr>
              <w:t>На 1 января</w:t>
            </w:r>
          </w:p>
        </w:tc>
        <w:tc>
          <w:tcPr>
            <w:tcW w:w="1701" w:type="dxa"/>
            <w:tcBorders>
              <w:top w:val="single" w:sz="6" w:space="0" w:color="auto"/>
            </w:tcBorders>
            <w:vAlign w:val="bottom"/>
          </w:tcPr>
          <w:p w:rsidR="00FD06F3" w:rsidRDefault="0054425B">
            <w:pPr>
              <w:widowControl w:val="0"/>
              <w:tabs>
                <w:tab w:val="decimal" w:pos="1247"/>
              </w:tabs>
              <w:jc w:val="left"/>
              <w:rPr>
                <w:sz w:val="18"/>
                <w:szCs w:val="18"/>
              </w:rPr>
            </w:pPr>
            <w:r>
              <w:rPr>
                <w:sz w:val="18"/>
                <w:szCs w:val="18"/>
              </w:rPr>
              <w:t>71 770</w:t>
            </w:r>
          </w:p>
        </w:tc>
        <w:tc>
          <w:tcPr>
            <w:tcW w:w="1701" w:type="dxa"/>
            <w:tcBorders>
              <w:top w:val="single" w:sz="6" w:space="0" w:color="auto"/>
            </w:tcBorders>
            <w:vAlign w:val="bottom"/>
          </w:tcPr>
          <w:p w:rsidR="00FD06F3" w:rsidRDefault="0054425B">
            <w:pPr>
              <w:widowControl w:val="0"/>
              <w:tabs>
                <w:tab w:val="decimal" w:pos="1247"/>
              </w:tabs>
              <w:jc w:val="left"/>
              <w:rPr>
                <w:sz w:val="18"/>
                <w:szCs w:val="18"/>
              </w:rPr>
            </w:pPr>
            <w:r>
              <w:rPr>
                <w:sz w:val="18"/>
                <w:szCs w:val="18"/>
              </w:rPr>
              <w:t>12 305</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Расходы по начислению резерва</w:t>
            </w:r>
          </w:p>
        </w:tc>
        <w:tc>
          <w:tcPr>
            <w:tcW w:w="1701" w:type="dxa"/>
            <w:vAlign w:val="bottom"/>
          </w:tcPr>
          <w:p w:rsidR="00FD06F3" w:rsidRDefault="0054425B">
            <w:pPr>
              <w:widowControl w:val="0"/>
              <w:tabs>
                <w:tab w:val="decimal" w:pos="1247"/>
              </w:tabs>
              <w:jc w:val="left"/>
              <w:rPr>
                <w:sz w:val="18"/>
                <w:szCs w:val="18"/>
              </w:rPr>
            </w:pPr>
            <w:r>
              <w:rPr>
                <w:sz w:val="18"/>
                <w:szCs w:val="18"/>
              </w:rPr>
              <w:t>23 536</w:t>
            </w:r>
          </w:p>
        </w:tc>
        <w:tc>
          <w:tcPr>
            <w:tcW w:w="1701" w:type="dxa"/>
            <w:vAlign w:val="bottom"/>
          </w:tcPr>
          <w:p w:rsidR="00FD06F3" w:rsidRDefault="0054425B">
            <w:pPr>
              <w:widowControl w:val="0"/>
              <w:tabs>
                <w:tab w:val="decimal" w:pos="1247"/>
              </w:tabs>
              <w:jc w:val="left"/>
              <w:rPr>
                <w:sz w:val="18"/>
                <w:szCs w:val="18"/>
              </w:rPr>
            </w:pPr>
            <w:r>
              <w:rPr>
                <w:sz w:val="18"/>
                <w:szCs w:val="18"/>
              </w:rPr>
              <w:t>67 724</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Возврат ранее списанных сумм</w:t>
            </w:r>
          </w:p>
        </w:tc>
        <w:tc>
          <w:tcPr>
            <w:tcW w:w="1701" w:type="dxa"/>
            <w:vAlign w:val="bottom"/>
          </w:tcPr>
          <w:p w:rsidR="00FD06F3" w:rsidRDefault="0054425B">
            <w:pPr>
              <w:widowControl w:val="0"/>
              <w:tabs>
                <w:tab w:val="decimal" w:pos="1247"/>
              </w:tabs>
              <w:jc w:val="left"/>
              <w:rPr>
                <w:sz w:val="18"/>
                <w:szCs w:val="18"/>
              </w:rPr>
            </w:pPr>
            <w:r>
              <w:rPr>
                <w:sz w:val="18"/>
                <w:szCs w:val="18"/>
              </w:rPr>
              <w:t>(697)</w:t>
            </w:r>
          </w:p>
        </w:tc>
        <w:tc>
          <w:tcPr>
            <w:tcW w:w="1701" w:type="dxa"/>
            <w:vAlign w:val="bottom"/>
          </w:tcPr>
          <w:p w:rsidR="00FD06F3" w:rsidRDefault="0054425B">
            <w:pPr>
              <w:widowControl w:val="0"/>
              <w:tabs>
                <w:tab w:val="decimal" w:pos="1247"/>
              </w:tabs>
              <w:jc w:val="left"/>
              <w:rPr>
                <w:sz w:val="18"/>
                <w:szCs w:val="18"/>
              </w:rPr>
            </w:pPr>
            <w:r>
              <w:rPr>
                <w:sz w:val="18"/>
                <w:szCs w:val="18"/>
              </w:rPr>
              <w:t>(6 516)</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Использование резерва</w:t>
            </w:r>
          </w:p>
        </w:tc>
        <w:tc>
          <w:tcPr>
            <w:tcW w:w="1701" w:type="dxa"/>
            <w:tcBorders>
              <w:bottom w:val="single" w:sz="6" w:space="0" w:color="auto"/>
            </w:tcBorders>
            <w:vAlign w:val="bottom"/>
          </w:tcPr>
          <w:p w:rsidR="00FD06F3" w:rsidRDefault="0054425B">
            <w:pPr>
              <w:widowControl w:val="0"/>
              <w:tabs>
                <w:tab w:val="decimal" w:pos="1247"/>
              </w:tabs>
              <w:jc w:val="left"/>
              <w:rPr>
                <w:sz w:val="18"/>
                <w:szCs w:val="18"/>
              </w:rPr>
            </w:pPr>
            <w:r>
              <w:rPr>
                <w:sz w:val="18"/>
                <w:szCs w:val="18"/>
              </w:rPr>
              <w:t>(1 526)</w:t>
            </w:r>
          </w:p>
        </w:tc>
        <w:tc>
          <w:tcPr>
            <w:tcW w:w="1701" w:type="dxa"/>
            <w:tcBorders>
              <w:bottom w:val="single" w:sz="6" w:space="0" w:color="auto"/>
            </w:tcBorders>
            <w:vAlign w:val="bottom"/>
          </w:tcPr>
          <w:p w:rsidR="00FD06F3" w:rsidRDefault="0054425B">
            <w:pPr>
              <w:widowControl w:val="0"/>
              <w:tabs>
                <w:tab w:val="decimal" w:pos="1247"/>
              </w:tabs>
              <w:jc w:val="left"/>
              <w:rPr>
                <w:sz w:val="18"/>
                <w:szCs w:val="18"/>
              </w:rPr>
            </w:pPr>
            <w:r>
              <w:rPr>
                <w:sz w:val="18"/>
                <w:szCs w:val="18"/>
              </w:rPr>
              <w:t>(1 743)</w:t>
            </w:r>
          </w:p>
        </w:tc>
      </w:tr>
      <w:tr w:rsidR="00FD06F3">
        <w:trPr>
          <w:trHeight w:val="340"/>
          <w:jc w:val="center"/>
        </w:trPr>
        <w:tc>
          <w:tcPr>
            <w:tcW w:w="6236" w:type="dxa"/>
            <w:tcBorders>
              <w:bottom w:val="nil"/>
            </w:tcBorders>
            <w:vAlign w:val="bottom"/>
          </w:tcPr>
          <w:p w:rsidR="00FD06F3" w:rsidRDefault="0054425B">
            <w:pPr>
              <w:pStyle w:val="Tabletext"/>
              <w:widowControl w:val="0"/>
              <w:ind w:left="5" w:right="-108" w:hanging="113"/>
              <w:jc w:val="left"/>
              <w:rPr>
                <w:b/>
                <w:bCs/>
              </w:rPr>
            </w:pPr>
            <w:r>
              <w:rPr>
                <w:b/>
                <w:bCs/>
              </w:rPr>
              <w:t>На 31 декабря</w:t>
            </w:r>
          </w:p>
        </w:tc>
        <w:tc>
          <w:tcPr>
            <w:tcW w:w="1701" w:type="dxa"/>
            <w:tcBorders>
              <w:top w:val="single" w:sz="6" w:space="0" w:color="auto"/>
              <w:bottom w:val="single" w:sz="12" w:space="0" w:color="auto"/>
            </w:tcBorders>
            <w:vAlign w:val="bottom"/>
          </w:tcPr>
          <w:p w:rsidR="00FD06F3" w:rsidRDefault="0054425B">
            <w:pPr>
              <w:widowControl w:val="0"/>
              <w:tabs>
                <w:tab w:val="decimal" w:pos="1247"/>
              </w:tabs>
              <w:jc w:val="left"/>
              <w:rPr>
                <w:b/>
                <w:sz w:val="18"/>
                <w:szCs w:val="18"/>
              </w:rPr>
            </w:pPr>
            <w:r>
              <w:rPr>
                <w:b/>
                <w:sz w:val="18"/>
                <w:szCs w:val="18"/>
              </w:rPr>
              <w:t>93 083</w:t>
            </w:r>
          </w:p>
        </w:tc>
        <w:tc>
          <w:tcPr>
            <w:tcW w:w="1701" w:type="dxa"/>
            <w:tcBorders>
              <w:top w:val="single" w:sz="6" w:space="0" w:color="auto"/>
              <w:bottom w:val="single" w:sz="12" w:space="0" w:color="auto"/>
            </w:tcBorders>
            <w:vAlign w:val="bottom"/>
          </w:tcPr>
          <w:p w:rsidR="00FD06F3" w:rsidRDefault="0054425B">
            <w:pPr>
              <w:widowControl w:val="0"/>
              <w:tabs>
                <w:tab w:val="decimal" w:pos="1247"/>
              </w:tabs>
              <w:jc w:val="left"/>
              <w:rPr>
                <w:b/>
                <w:sz w:val="18"/>
                <w:szCs w:val="18"/>
              </w:rPr>
            </w:pPr>
            <w:r>
              <w:rPr>
                <w:b/>
                <w:sz w:val="18"/>
                <w:szCs w:val="18"/>
              </w:rPr>
              <w:t>71 770</w:t>
            </w:r>
          </w:p>
        </w:tc>
      </w:tr>
    </w:tbl>
    <w:p w:rsidR="00FD06F3" w:rsidRDefault="00FD06F3">
      <w:pPr>
        <w:widowControl w:val="0"/>
      </w:pPr>
    </w:p>
    <w:p w:rsidR="00FD06F3" w:rsidRDefault="0054425B">
      <w:pPr>
        <w:widowControl w:val="0"/>
      </w:pPr>
      <w:r>
        <w:t>По состоянию на 31 декабря 2017 г. торговая и прочая дебиторская задолженность, деноминированная в иностранной валюте, составила 8 953 тыс. руб. (2016 год: 10 919 тыс. руб.).</w:t>
      </w:r>
    </w:p>
    <w:p w:rsidR="00FD06F3" w:rsidRDefault="00FD06F3">
      <w:pPr>
        <w:widowControl w:val="0"/>
      </w:pPr>
    </w:p>
    <w:p w:rsidR="00FD06F3" w:rsidRDefault="00FD06F3">
      <w:pPr>
        <w:widowControl w:val="0"/>
      </w:pPr>
    </w:p>
    <w:p w:rsidR="00FD06F3" w:rsidRDefault="0054425B">
      <w:pPr>
        <w:pStyle w:val="12"/>
      </w:pPr>
      <w:bookmarkStart w:id="93" w:name="_Toc354762886"/>
      <w:bookmarkStart w:id="94" w:name="_Toc356225091"/>
      <w:bookmarkStart w:id="95" w:name="_Toc387743856"/>
      <w:bookmarkStart w:id="96" w:name="_Toc387743934"/>
      <w:bookmarkStart w:id="97" w:name="_Toc512452522"/>
      <w:r>
        <w:t>9.</w:t>
      </w:r>
      <w:r>
        <w:tab/>
        <w:t>Денежные средства и их эквиваленты</w:t>
      </w:r>
      <w:bookmarkEnd w:id="93"/>
      <w:bookmarkEnd w:id="94"/>
      <w:bookmarkEnd w:id="95"/>
      <w:bookmarkEnd w:id="96"/>
      <w:bookmarkEnd w:id="97"/>
      <w:r>
        <w:t xml:space="preserve"> </w:t>
      </w:r>
    </w:p>
    <w:p w:rsidR="00FD06F3" w:rsidRDefault="00FD06F3">
      <w:pPr>
        <w:widowControl w:val="0"/>
      </w:pPr>
    </w:p>
    <w:p w:rsidR="00FD06F3" w:rsidRDefault="0054425B">
      <w:pPr>
        <w:widowControl w:val="0"/>
      </w:pPr>
      <w:r>
        <w:t>Принадлежащие Группе денежные средства и их эквиваленты на 31 декабря 2017 и 2016 гг. представлены ниже:</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widowControl w:val="0"/>
              <w:ind w:left="5" w:right="-108" w:hanging="113"/>
              <w:jc w:val="left"/>
              <w:rPr>
                <w:sz w:val="18"/>
                <w:szCs w:val="18"/>
              </w:rPr>
            </w:pPr>
          </w:p>
        </w:tc>
        <w:tc>
          <w:tcPr>
            <w:tcW w:w="1701" w:type="dxa"/>
            <w:tcBorders>
              <w:bottom w:val="single" w:sz="6" w:space="0" w:color="auto"/>
            </w:tcBorders>
            <w:vAlign w:val="bottom"/>
          </w:tcPr>
          <w:p w:rsidR="00FD06F3" w:rsidRDefault="0054425B">
            <w:pPr>
              <w:widowControl w:val="0"/>
              <w:ind w:left="-108" w:right="-108"/>
              <w:jc w:val="center"/>
              <w:rPr>
                <w:b/>
                <w:bCs/>
                <w:sz w:val="18"/>
                <w:szCs w:val="18"/>
              </w:rPr>
            </w:pPr>
            <w:r>
              <w:rPr>
                <w:b/>
                <w:bCs/>
                <w:sz w:val="18"/>
                <w:szCs w:val="18"/>
              </w:rPr>
              <w:t>2017 г.</w:t>
            </w:r>
          </w:p>
        </w:tc>
        <w:tc>
          <w:tcPr>
            <w:tcW w:w="1701" w:type="dxa"/>
            <w:tcBorders>
              <w:bottom w:val="single" w:sz="6" w:space="0" w:color="auto"/>
            </w:tcBorders>
            <w:vAlign w:val="bottom"/>
          </w:tcPr>
          <w:p w:rsidR="00FD06F3" w:rsidRDefault="0054425B">
            <w:pPr>
              <w:widowControl w:val="0"/>
              <w:ind w:left="-108" w:right="-108"/>
              <w:jc w:val="center"/>
              <w:rPr>
                <w:b/>
                <w:bCs/>
                <w:sz w:val="18"/>
                <w:szCs w:val="18"/>
              </w:rPr>
            </w:pPr>
            <w:r>
              <w:rPr>
                <w:b/>
                <w:bCs/>
                <w:sz w:val="18"/>
                <w:szCs w:val="18"/>
              </w:rPr>
              <w:t>2016 г.</w:t>
            </w:r>
          </w:p>
        </w:tc>
      </w:tr>
      <w:tr w:rsidR="00FD06F3">
        <w:trPr>
          <w:trHeight w:val="340"/>
          <w:jc w:val="center"/>
        </w:trPr>
        <w:tc>
          <w:tcPr>
            <w:tcW w:w="6236" w:type="dxa"/>
            <w:vAlign w:val="bottom"/>
          </w:tcPr>
          <w:p w:rsidR="00FD06F3" w:rsidRDefault="0054425B">
            <w:pPr>
              <w:widowControl w:val="0"/>
              <w:ind w:left="5" w:right="-108" w:hanging="113"/>
              <w:jc w:val="left"/>
              <w:rPr>
                <w:sz w:val="18"/>
                <w:szCs w:val="18"/>
              </w:rPr>
            </w:pPr>
            <w:r>
              <w:rPr>
                <w:sz w:val="18"/>
                <w:szCs w:val="18"/>
              </w:rPr>
              <w:t>Денежные средства в банке в долларах США и евро</w:t>
            </w:r>
          </w:p>
        </w:tc>
        <w:tc>
          <w:tcPr>
            <w:tcW w:w="1701" w:type="dxa"/>
            <w:tcBorders>
              <w:top w:val="single" w:sz="6" w:space="0" w:color="auto"/>
            </w:tcBorders>
            <w:vAlign w:val="bottom"/>
          </w:tcPr>
          <w:p w:rsidR="00FD06F3" w:rsidRDefault="0054425B">
            <w:pPr>
              <w:tabs>
                <w:tab w:val="decimal" w:pos="1247"/>
              </w:tabs>
              <w:jc w:val="left"/>
              <w:rPr>
                <w:sz w:val="18"/>
                <w:szCs w:val="18"/>
              </w:rPr>
            </w:pPr>
            <w:r>
              <w:rPr>
                <w:sz w:val="18"/>
                <w:szCs w:val="18"/>
              </w:rPr>
              <w:t>463</w:t>
            </w:r>
          </w:p>
        </w:tc>
        <w:tc>
          <w:tcPr>
            <w:tcW w:w="1701" w:type="dxa"/>
            <w:tcBorders>
              <w:top w:val="single" w:sz="6" w:space="0" w:color="auto"/>
            </w:tcBorders>
            <w:vAlign w:val="bottom"/>
          </w:tcPr>
          <w:p w:rsidR="00FD06F3" w:rsidRDefault="0054425B">
            <w:pPr>
              <w:tabs>
                <w:tab w:val="decimal" w:pos="1247"/>
              </w:tabs>
              <w:jc w:val="left"/>
              <w:rPr>
                <w:sz w:val="18"/>
                <w:szCs w:val="18"/>
              </w:rPr>
            </w:pPr>
            <w:r>
              <w:rPr>
                <w:sz w:val="18"/>
                <w:szCs w:val="18"/>
              </w:rPr>
              <w:t>120 084</w:t>
            </w:r>
          </w:p>
        </w:tc>
      </w:tr>
      <w:tr w:rsidR="00FD06F3">
        <w:trPr>
          <w:trHeight w:val="23"/>
          <w:jc w:val="center"/>
        </w:trPr>
        <w:tc>
          <w:tcPr>
            <w:tcW w:w="6236" w:type="dxa"/>
            <w:vAlign w:val="bottom"/>
          </w:tcPr>
          <w:p w:rsidR="00FD06F3" w:rsidRDefault="0054425B">
            <w:pPr>
              <w:widowControl w:val="0"/>
              <w:ind w:left="5" w:right="-108" w:hanging="113"/>
              <w:jc w:val="left"/>
              <w:rPr>
                <w:sz w:val="18"/>
                <w:szCs w:val="18"/>
              </w:rPr>
            </w:pPr>
            <w:r>
              <w:rPr>
                <w:sz w:val="18"/>
                <w:szCs w:val="18"/>
              </w:rPr>
              <w:t>Рублевые денежные средства на банковских счетах и в кассе</w:t>
            </w:r>
          </w:p>
        </w:tc>
        <w:tc>
          <w:tcPr>
            <w:tcW w:w="1701" w:type="dxa"/>
            <w:vAlign w:val="bottom"/>
          </w:tcPr>
          <w:p w:rsidR="00FD06F3" w:rsidRDefault="0054425B">
            <w:pPr>
              <w:tabs>
                <w:tab w:val="decimal" w:pos="1247"/>
              </w:tabs>
              <w:jc w:val="left"/>
              <w:rPr>
                <w:sz w:val="18"/>
                <w:szCs w:val="18"/>
              </w:rPr>
            </w:pPr>
            <w:r>
              <w:rPr>
                <w:sz w:val="18"/>
                <w:szCs w:val="18"/>
              </w:rPr>
              <w:t>55 480</w:t>
            </w:r>
          </w:p>
        </w:tc>
        <w:tc>
          <w:tcPr>
            <w:tcW w:w="1701" w:type="dxa"/>
            <w:vAlign w:val="bottom"/>
          </w:tcPr>
          <w:p w:rsidR="00FD06F3" w:rsidRDefault="0054425B">
            <w:pPr>
              <w:tabs>
                <w:tab w:val="decimal" w:pos="1247"/>
              </w:tabs>
              <w:jc w:val="left"/>
              <w:rPr>
                <w:sz w:val="18"/>
                <w:szCs w:val="18"/>
              </w:rPr>
            </w:pPr>
            <w:r>
              <w:rPr>
                <w:sz w:val="18"/>
                <w:szCs w:val="18"/>
              </w:rPr>
              <w:t>25 689</w:t>
            </w:r>
          </w:p>
        </w:tc>
      </w:tr>
      <w:tr w:rsidR="00FD06F3">
        <w:trPr>
          <w:trHeight w:val="340"/>
          <w:jc w:val="center"/>
        </w:trPr>
        <w:tc>
          <w:tcPr>
            <w:tcW w:w="6236" w:type="dxa"/>
            <w:tcBorders>
              <w:bottom w:val="nil"/>
            </w:tcBorders>
            <w:vAlign w:val="bottom"/>
          </w:tcPr>
          <w:p w:rsidR="00FD06F3" w:rsidRDefault="00FD06F3">
            <w:pPr>
              <w:widowControl w:val="0"/>
              <w:ind w:left="5" w:right="-108" w:hanging="113"/>
              <w:jc w:val="left"/>
              <w:rPr>
                <w:sz w:val="18"/>
                <w:szCs w:val="18"/>
              </w:rPr>
            </w:pPr>
          </w:p>
        </w:tc>
        <w:tc>
          <w:tcPr>
            <w:tcW w:w="1701" w:type="dxa"/>
            <w:tcBorders>
              <w:top w:val="single" w:sz="6" w:space="0" w:color="auto"/>
              <w:bottom w:val="single" w:sz="12" w:space="0" w:color="auto"/>
            </w:tcBorders>
            <w:vAlign w:val="bottom"/>
          </w:tcPr>
          <w:p w:rsidR="00FD06F3" w:rsidRDefault="0054425B">
            <w:pPr>
              <w:widowControl w:val="0"/>
              <w:tabs>
                <w:tab w:val="decimal" w:pos="1247"/>
              </w:tabs>
              <w:jc w:val="left"/>
              <w:rPr>
                <w:b/>
                <w:sz w:val="18"/>
                <w:szCs w:val="18"/>
              </w:rPr>
            </w:pPr>
            <w:r>
              <w:rPr>
                <w:b/>
                <w:sz w:val="18"/>
                <w:szCs w:val="18"/>
              </w:rPr>
              <w:t>55 943</w:t>
            </w:r>
          </w:p>
        </w:tc>
        <w:tc>
          <w:tcPr>
            <w:tcW w:w="1701" w:type="dxa"/>
            <w:tcBorders>
              <w:top w:val="single" w:sz="6" w:space="0" w:color="auto"/>
              <w:bottom w:val="single" w:sz="12" w:space="0" w:color="auto"/>
            </w:tcBorders>
            <w:vAlign w:val="bottom"/>
          </w:tcPr>
          <w:p w:rsidR="00FD06F3" w:rsidRDefault="0054425B">
            <w:pPr>
              <w:widowControl w:val="0"/>
              <w:tabs>
                <w:tab w:val="decimal" w:pos="1247"/>
              </w:tabs>
              <w:jc w:val="left"/>
              <w:rPr>
                <w:b/>
                <w:sz w:val="18"/>
                <w:szCs w:val="18"/>
              </w:rPr>
            </w:pPr>
            <w:r>
              <w:rPr>
                <w:b/>
                <w:sz w:val="18"/>
                <w:szCs w:val="18"/>
              </w:rPr>
              <w:t>145 773</w:t>
            </w:r>
          </w:p>
        </w:tc>
      </w:tr>
    </w:tbl>
    <w:p w:rsidR="00FD06F3" w:rsidRDefault="00FD06F3">
      <w:pPr>
        <w:widowControl w:val="0"/>
      </w:pPr>
    </w:p>
    <w:p w:rsidR="00FD06F3" w:rsidRDefault="0054425B">
      <w:pPr>
        <w:pStyle w:val="12"/>
      </w:pPr>
      <w:bookmarkStart w:id="98" w:name="_Toc354762887"/>
      <w:bookmarkStart w:id="99" w:name="_Toc356225092"/>
      <w:r>
        <w:br w:type="page"/>
      </w:r>
      <w:bookmarkStart w:id="100" w:name="_Toc387743857"/>
      <w:bookmarkStart w:id="101" w:name="_Toc387743935"/>
      <w:bookmarkStart w:id="102" w:name="_Toc512452523"/>
      <w:r>
        <w:lastRenderedPageBreak/>
        <w:t>10.</w:t>
      </w:r>
      <w:r>
        <w:tab/>
        <w:t>Уставный капитал</w:t>
      </w:r>
      <w:bookmarkEnd w:id="98"/>
      <w:bookmarkEnd w:id="99"/>
      <w:bookmarkEnd w:id="100"/>
      <w:bookmarkEnd w:id="101"/>
      <w:bookmarkEnd w:id="102"/>
    </w:p>
    <w:p w:rsidR="00FD06F3" w:rsidRDefault="00FD06F3">
      <w:pPr>
        <w:widowControl w:val="0"/>
      </w:pPr>
    </w:p>
    <w:p w:rsidR="00FD06F3" w:rsidRDefault="0054425B">
      <w:pPr>
        <w:widowControl w:val="0"/>
      </w:pPr>
      <w:r>
        <w:t>По состоянию на 31 декабря 2017 и 2016 гг. уставный капитал включал 9 217 583 обыкновенные акции, номинальной стоимостью 1 рубль каждая, и 1 805 233 привилегированных акций, номинальной стоимостью 1 рубль каждая.</w:t>
      </w:r>
    </w:p>
    <w:p w:rsidR="00FD06F3" w:rsidRDefault="00FD06F3">
      <w:pPr>
        <w:widowControl w:val="0"/>
        <w:rPr>
          <w:snapToGrid w:val="0"/>
        </w:rPr>
      </w:pPr>
    </w:p>
    <w:p w:rsidR="00FD06F3" w:rsidRDefault="0054425B">
      <w:pPr>
        <w:widowControl w:val="0"/>
      </w:pPr>
      <w:r>
        <w:t>Держатели привилегированных акций имеют право на 1 голос в следующих случаях:</w:t>
      </w:r>
    </w:p>
    <w:p w:rsidR="00FD06F3" w:rsidRDefault="0054425B">
      <w:pPr>
        <w:pStyle w:val="Text33"/>
        <w:widowControl w:val="0"/>
        <w:spacing w:before="120" w:after="0"/>
        <w:ind w:left="567" w:hanging="567"/>
      </w:pPr>
      <w:r>
        <w:t>(а)</w:t>
      </w:r>
      <w:r>
        <w:tab/>
        <w:t>предполагаемая реорганизация или ликвидация Группы;</w:t>
      </w:r>
    </w:p>
    <w:p w:rsidR="00FD06F3" w:rsidRDefault="0054425B">
      <w:pPr>
        <w:pStyle w:val="Text33"/>
        <w:widowControl w:val="0"/>
        <w:spacing w:before="120" w:after="0"/>
        <w:ind w:left="567" w:hanging="567"/>
      </w:pPr>
      <w:r>
        <w:t>(б)</w:t>
      </w:r>
      <w:r>
        <w:tab/>
        <w:t xml:space="preserve">предполагаемые поправки к Уставу, которые ограничивают права привилегированных акций, и </w:t>
      </w:r>
    </w:p>
    <w:p w:rsidR="00FD06F3" w:rsidRDefault="0054425B">
      <w:pPr>
        <w:pStyle w:val="Text33"/>
        <w:widowControl w:val="0"/>
        <w:spacing w:before="120" w:after="0"/>
        <w:ind w:left="567" w:hanging="567"/>
      </w:pPr>
      <w:r>
        <w:t>(в)</w:t>
      </w:r>
      <w:r>
        <w:tab/>
        <w:t>предложения, в отношении</w:t>
      </w:r>
      <w:r>
        <w:t xml:space="preserve"> которых держатели привилегированных акций имеют право голоса в соответствии с законодательством Российской Федерации.</w:t>
      </w:r>
    </w:p>
    <w:p w:rsidR="00FD06F3" w:rsidRDefault="00FD06F3">
      <w:pPr>
        <w:widowControl w:val="0"/>
      </w:pPr>
    </w:p>
    <w:p w:rsidR="00FD06F3" w:rsidRDefault="0054425B">
      <w:pPr>
        <w:widowControl w:val="0"/>
      </w:pPr>
      <w:r>
        <w:t xml:space="preserve">Привилегированные акции не могут быть конвертированы в обыкновенные акции и не дают прав на получение кумулятивных дивидендов. Ежегодно </w:t>
      </w:r>
      <w:r>
        <w:t>начисляемые дивиденды по привилегированным акциям ни при каких обстоятельствах не могут быть меньше 130% от суммы ежегодных дивидендов, объявленных (в соответствующих случаях) на одну обыкновенную акцию.</w:t>
      </w:r>
    </w:p>
    <w:p w:rsidR="00FD06F3" w:rsidRDefault="00FD06F3">
      <w:pPr>
        <w:widowControl w:val="0"/>
      </w:pPr>
    </w:p>
    <w:p w:rsidR="00FD06F3" w:rsidRDefault="0054425B">
      <w:pPr>
        <w:widowControl w:val="0"/>
      </w:pPr>
      <w:r>
        <w:t xml:space="preserve">В 2017 году были объявлены дивиденды в общей сумме </w:t>
      </w:r>
      <w:r>
        <w:t>17 328 тыс. руб. из расчета:</w:t>
      </w:r>
    </w:p>
    <w:p w:rsidR="00FD06F3" w:rsidRDefault="00FD06F3">
      <w:pPr>
        <w:widowControl w:val="0"/>
      </w:pPr>
    </w:p>
    <w:p w:rsidR="00FD06F3" w:rsidRDefault="0054425B">
      <w:pPr>
        <w:widowControl w:val="0"/>
      </w:pPr>
      <w:r>
        <w:t>0,39 рубля на одну привилегированную акцию типа А, итого 575 тыс. руб.</w:t>
      </w:r>
    </w:p>
    <w:p w:rsidR="00FD06F3" w:rsidRDefault="0054425B">
      <w:pPr>
        <w:widowControl w:val="0"/>
      </w:pPr>
      <w:r>
        <w:t>42,3 рубля на одну привилегированную акцию типа Б, итого 13 988 тыс. руб.</w:t>
      </w:r>
    </w:p>
    <w:p w:rsidR="00FD06F3" w:rsidRDefault="0054425B">
      <w:pPr>
        <w:widowControl w:val="0"/>
      </w:pPr>
      <w:r>
        <w:t>0,30 рубля на одну обыкновенную акцию, итого 2 765 тыс. руб.</w:t>
      </w:r>
    </w:p>
    <w:p w:rsidR="00FD06F3" w:rsidRDefault="00FD06F3">
      <w:pPr>
        <w:widowControl w:val="0"/>
      </w:pPr>
    </w:p>
    <w:p w:rsidR="00FD06F3" w:rsidRDefault="00FD06F3">
      <w:pPr>
        <w:widowControl w:val="0"/>
      </w:pPr>
    </w:p>
    <w:p w:rsidR="00FD06F3" w:rsidRDefault="0054425B">
      <w:pPr>
        <w:widowControl w:val="0"/>
        <w:rPr>
          <w:highlight w:val="yellow"/>
        </w:rPr>
      </w:pPr>
      <w:r>
        <w:t>В 2016 году дивиде</w:t>
      </w:r>
      <w:r>
        <w:t xml:space="preserve">нды не были объявлены. </w:t>
      </w:r>
    </w:p>
    <w:p w:rsidR="00FD06F3" w:rsidRDefault="00FD06F3">
      <w:pPr>
        <w:widowControl w:val="0"/>
      </w:pPr>
    </w:p>
    <w:p w:rsidR="00FD06F3" w:rsidRDefault="0054425B">
      <w:pPr>
        <w:pStyle w:val="12"/>
      </w:pPr>
      <w:bookmarkStart w:id="103" w:name="_Toc354762888"/>
      <w:bookmarkStart w:id="104" w:name="_Toc356225093"/>
      <w:bookmarkStart w:id="105" w:name="_Toc387743858"/>
      <w:bookmarkStart w:id="106" w:name="_Toc387743936"/>
      <w:bookmarkStart w:id="107" w:name="_Toc512452524"/>
      <w:r>
        <w:t>11.</w:t>
      </w:r>
      <w:r>
        <w:tab/>
        <w:t>Кредиты и займы</w:t>
      </w:r>
      <w:bookmarkEnd w:id="103"/>
      <w:bookmarkEnd w:id="104"/>
      <w:bookmarkEnd w:id="105"/>
      <w:bookmarkEnd w:id="106"/>
      <w:bookmarkEnd w:id="107"/>
    </w:p>
    <w:p w:rsidR="00FD06F3" w:rsidRDefault="00FD06F3">
      <w:pPr>
        <w:widowControl w:val="0"/>
      </w:pPr>
    </w:p>
    <w:p w:rsidR="00FD06F3" w:rsidRDefault="0054425B">
      <w:pPr>
        <w:widowControl w:val="0"/>
      </w:pPr>
      <w:r>
        <w:t>Кредиты и займы Группы по состоянию на 31 декабря 2017 и 2016 гг. представлены ниже:</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tcBorders>
              <w:bottom w:val="single" w:sz="6" w:space="0" w:color="auto"/>
            </w:tcBorders>
            <w:vAlign w:val="bottom"/>
          </w:tcPr>
          <w:p w:rsidR="00FD06F3" w:rsidRDefault="0054425B">
            <w:pPr>
              <w:widowControl w:val="0"/>
              <w:ind w:left="5" w:right="-108" w:hanging="113"/>
              <w:jc w:val="left"/>
              <w:rPr>
                <w:b/>
                <w:bCs/>
                <w:sz w:val="18"/>
                <w:szCs w:val="18"/>
              </w:rPr>
            </w:pPr>
            <w:r>
              <w:rPr>
                <w:b/>
                <w:bCs/>
                <w:sz w:val="18"/>
                <w:szCs w:val="18"/>
              </w:rPr>
              <w:t>Долгосрочные</w:t>
            </w:r>
          </w:p>
        </w:tc>
        <w:tc>
          <w:tcPr>
            <w:tcW w:w="1701" w:type="dxa"/>
            <w:tcBorders>
              <w:bottom w:val="single" w:sz="6" w:space="0" w:color="auto"/>
            </w:tcBorders>
            <w:vAlign w:val="bottom"/>
          </w:tcPr>
          <w:p w:rsidR="00FD06F3" w:rsidRDefault="0054425B">
            <w:pPr>
              <w:pStyle w:val="Tabletext"/>
              <w:widowControl w:val="0"/>
              <w:ind w:left="-108" w:right="-108"/>
              <w:jc w:val="center"/>
              <w:rPr>
                <w:b/>
                <w:bCs/>
              </w:rPr>
            </w:pPr>
            <w:r>
              <w:rPr>
                <w:b/>
                <w:bCs/>
              </w:rPr>
              <w:t>2017 г.</w:t>
            </w:r>
          </w:p>
        </w:tc>
        <w:tc>
          <w:tcPr>
            <w:tcW w:w="1701" w:type="dxa"/>
            <w:tcBorders>
              <w:bottom w:val="single" w:sz="6" w:space="0" w:color="auto"/>
            </w:tcBorders>
            <w:vAlign w:val="bottom"/>
          </w:tcPr>
          <w:p w:rsidR="00FD06F3" w:rsidRDefault="0054425B">
            <w:pPr>
              <w:pStyle w:val="Tabletext"/>
              <w:widowControl w:val="0"/>
              <w:ind w:left="-108" w:right="-108"/>
              <w:jc w:val="center"/>
              <w:rPr>
                <w:b/>
                <w:bCs/>
              </w:rPr>
            </w:pPr>
            <w:r>
              <w:rPr>
                <w:b/>
                <w:bCs/>
              </w:rPr>
              <w:t>2016 г.</w:t>
            </w:r>
          </w:p>
        </w:tc>
      </w:tr>
      <w:tr w:rsidR="00FD06F3">
        <w:trPr>
          <w:trHeight w:val="340"/>
          <w:jc w:val="center"/>
        </w:trPr>
        <w:tc>
          <w:tcPr>
            <w:tcW w:w="6236" w:type="dxa"/>
            <w:tcBorders>
              <w:top w:val="single" w:sz="6" w:space="0" w:color="auto"/>
            </w:tcBorders>
            <w:vAlign w:val="bottom"/>
          </w:tcPr>
          <w:p w:rsidR="00FD06F3" w:rsidRDefault="0054425B">
            <w:pPr>
              <w:pStyle w:val="Tabletext"/>
              <w:widowControl w:val="0"/>
              <w:ind w:left="5" w:right="-108" w:hanging="113"/>
              <w:jc w:val="left"/>
            </w:pPr>
            <w:r>
              <w:t>Банковские кредиты</w:t>
            </w:r>
          </w:p>
        </w:tc>
        <w:tc>
          <w:tcPr>
            <w:tcW w:w="1701" w:type="dxa"/>
            <w:tcBorders>
              <w:top w:val="single" w:sz="6" w:space="0" w:color="auto"/>
            </w:tcBorders>
            <w:vAlign w:val="bottom"/>
          </w:tcPr>
          <w:p w:rsidR="00FD06F3" w:rsidRDefault="0054425B">
            <w:pPr>
              <w:widowControl w:val="0"/>
              <w:tabs>
                <w:tab w:val="decimal" w:pos="1247"/>
              </w:tabs>
              <w:jc w:val="left"/>
              <w:rPr>
                <w:sz w:val="18"/>
                <w:szCs w:val="18"/>
              </w:rPr>
            </w:pPr>
            <w:r>
              <w:rPr>
                <w:sz w:val="18"/>
                <w:szCs w:val="18"/>
              </w:rPr>
              <w:t>49 856</w:t>
            </w:r>
          </w:p>
        </w:tc>
        <w:tc>
          <w:tcPr>
            <w:tcW w:w="1701" w:type="dxa"/>
            <w:tcBorders>
              <w:top w:val="single" w:sz="6" w:space="0" w:color="auto"/>
            </w:tcBorders>
            <w:vAlign w:val="bottom"/>
          </w:tcPr>
          <w:p w:rsidR="00FD06F3" w:rsidRDefault="0054425B">
            <w:pPr>
              <w:widowControl w:val="0"/>
              <w:tabs>
                <w:tab w:val="decimal" w:pos="1247"/>
              </w:tabs>
              <w:jc w:val="left"/>
              <w:rPr>
                <w:sz w:val="18"/>
                <w:szCs w:val="18"/>
              </w:rPr>
            </w:pPr>
            <w:r>
              <w:rPr>
                <w:sz w:val="18"/>
                <w:szCs w:val="18"/>
              </w:rPr>
              <w:t>108 546</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Займы, полученные от связанных сторон (Прим. 18.1)</w:t>
            </w:r>
          </w:p>
        </w:tc>
        <w:tc>
          <w:tcPr>
            <w:tcW w:w="1701" w:type="dxa"/>
            <w:tcBorders>
              <w:bottom w:val="single" w:sz="6" w:space="0" w:color="auto"/>
            </w:tcBorders>
            <w:vAlign w:val="bottom"/>
          </w:tcPr>
          <w:p w:rsidR="00FD06F3" w:rsidRDefault="0054425B">
            <w:pPr>
              <w:widowControl w:val="0"/>
              <w:tabs>
                <w:tab w:val="decimal" w:pos="1247"/>
              </w:tabs>
              <w:jc w:val="left"/>
              <w:rPr>
                <w:sz w:val="18"/>
                <w:szCs w:val="18"/>
              </w:rPr>
            </w:pPr>
            <w:r>
              <w:rPr>
                <w:sz w:val="18"/>
                <w:szCs w:val="18"/>
              </w:rPr>
              <w:t>24 615</w:t>
            </w:r>
          </w:p>
        </w:tc>
        <w:tc>
          <w:tcPr>
            <w:tcW w:w="1701" w:type="dxa"/>
            <w:tcBorders>
              <w:bottom w:val="single" w:sz="6" w:space="0" w:color="auto"/>
            </w:tcBorders>
            <w:vAlign w:val="bottom"/>
          </w:tcPr>
          <w:p w:rsidR="00FD06F3" w:rsidRDefault="0054425B">
            <w:pPr>
              <w:widowControl w:val="0"/>
              <w:tabs>
                <w:tab w:val="decimal" w:pos="1247"/>
              </w:tabs>
              <w:jc w:val="left"/>
              <w:rPr>
                <w:sz w:val="18"/>
                <w:szCs w:val="18"/>
              </w:rPr>
            </w:pPr>
            <w:r>
              <w:rPr>
                <w:sz w:val="18"/>
                <w:szCs w:val="18"/>
              </w:rPr>
              <w:t>858 164</w:t>
            </w:r>
          </w:p>
        </w:tc>
      </w:tr>
      <w:tr w:rsidR="00FD06F3">
        <w:trPr>
          <w:trHeight w:val="340"/>
          <w:jc w:val="center"/>
        </w:trPr>
        <w:tc>
          <w:tcPr>
            <w:tcW w:w="6236" w:type="dxa"/>
            <w:vAlign w:val="bottom"/>
          </w:tcPr>
          <w:p w:rsidR="00FD06F3" w:rsidRDefault="00FD06F3">
            <w:pPr>
              <w:pStyle w:val="Tabletext"/>
              <w:widowControl w:val="0"/>
              <w:ind w:left="5" w:right="-108" w:hanging="113"/>
              <w:jc w:val="left"/>
            </w:pPr>
          </w:p>
        </w:tc>
        <w:tc>
          <w:tcPr>
            <w:tcW w:w="1701" w:type="dxa"/>
            <w:tcBorders>
              <w:top w:val="single" w:sz="6" w:space="0" w:color="auto"/>
              <w:bottom w:val="single" w:sz="12" w:space="0" w:color="auto"/>
            </w:tcBorders>
            <w:vAlign w:val="bottom"/>
          </w:tcPr>
          <w:p w:rsidR="00FD06F3" w:rsidRDefault="0054425B">
            <w:pPr>
              <w:widowControl w:val="0"/>
              <w:tabs>
                <w:tab w:val="decimal" w:pos="1247"/>
              </w:tabs>
              <w:jc w:val="left"/>
              <w:rPr>
                <w:b/>
                <w:sz w:val="18"/>
                <w:szCs w:val="18"/>
              </w:rPr>
            </w:pPr>
            <w:r>
              <w:rPr>
                <w:b/>
                <w:sz w:val="18"/>
                <w:szCs w:val="18"/>
              </w:rPr>
              <w:t>74 471</w:t>
            </w:r>
          </w:p>
        </w:tc>
        <w:tc>
          <w:tcPr>
            <w:tcW w:w="1701" w:type="dxa"/>
            <w:tcBorders>
              <w:top w:val="single" w:sz="6" w:space="0" w:color="auto"/>
              <w:bottom w:val="single" w:sz="12" w:space="0" w:color="auto"/>
            </w:tcBorders>
            <w:vAlign w:val="bottom"/>
          </w:tcPr>
          <w:p w:rsidR="00FD06F3" w:rsidRDefault="0054425B">
            <w:pPr>
              <w:widowControl w:val="0"/>
              <w:tabs>
                <w:tab w:val="decimal" w:pos="1247"/>
              </w:tabs>
              <w:jc w:val="left"/>
              <w:rPr>
                <w:b/>
                <w:sz w:val="18"/>
                <w:szCs w:val="18"/>
              </w:rPr>
            </w:pPr>
            <w:r>
              <w:rPr>
                <w:b/>
                <w:sz w:val="18"/>
                <w:szCs w:val="18"/>
              </w:rPr>
              <w:t>966 710</w:t>
            </w:r>
          </w:p>
        </w:tc>
      </w:tr>
      <w:tr w:rsidR="00FD06F3">
        <w:trPr>
          <w:trHeight w:val="283"/>
          <w:jc w:val="center"/>
        </w:trPr>
        <w:tc>
          <w:tcPr>
            <w:tcW w:w="6236" w:type="dxa"/>
            <w:vAlign w:val="bottom"/>
          </w:tcPr>
          <w:p w:rsidR="00FD06F3" w:rsidRDefault="0054425B">
            <w:pPr>
              <w:pStyle w:val="Tabletext"/>
              <w:widowControl w:val="0"/>
              <w:ind w:left="5" w:right="-108" w:hanging="113"/>
              <w:jc w:val="left"/>
            </w:pPr>
            <w:r>
              <w:t xml:space="preserve"> </w:t>
            </w:r>
          </w:p>
        </w:tc>
        <w:tc>
          <w:tcPr>
            <w:tcW w:w="1701" w:type="dxa"/>
            <w:tcBorders>
              <w:top w:val="single" w:sz="6" w:space="0" w:color="auto"/>
            </w:tcBorders>
            <w:vAlign w:val="bottom"/>
          </w:tcPr>
          <w:p w:rsidR="00FD06F3" w:rsidRDefault="00FD06F3">
            <w:pPr>
              <w:pStyle w:val="Tabletext"/>
              <w:widowControl w:val="0"/>
              <w:tabs>
                <w:tab w:val="decimal" w:pos="1247"/>
              </w:tabs>
              <w:jc w:val="left"/>
              <w:rPr>
                <w:b/>
                <w:bCs/>
              </w:rPr>
            </w:pPr>
          </w:p>
        </w:tc>
        <w:tc>
          <w:tcPr>
            <w:tcW w:w="1701" w:type="dxa"/>
            <w:tcBorders>
              <w:top w:val="single" w:sz="6" w:space="0" w:color="auto"/>
            </w:tcBorders>
            <w:vAlign w:val="bottom"/>
          </w:tcPr>
          <w:p w:rsidR="00FD06F3" w:rsidRDefault="00FD06F3">
            <w:pPr>
              <w:pStyle w:val="Tabletext"/>
              <w:widowControl w:val="0"/>
              <w:tabs>
                <w:tab w:val="decimal" w:pos="1247"/>
              </w:tabs>
              <w:jc w:val="left"/>
              <w:rPr>
                <w:b/>
                <w:bCs/>
              </w:rPr>
            </w:pPr>
          </w:p>
        </w:tc>
      </w:tr>
      <w:tr w:rsidR="00FD06F3">
        <w:trPr>
          <w:trHeight w:val="23"/>
          <w:jc w:val="center"/>
        </w:trPr>
        <w:tc>
          <w:tcPr>
            <w:tcW w:w="6236" w:type="dxa"/>
            <w:tcBorders>
              <w:bottom w:val="single" w:sz="6" w:space="0" w:color="auto"/>
            </w:tcBorders>
            <w:vAlign w:val="bottom"/>
          </w:tcPr>
          <w:p w:rsidR="00FD06F3" w:rsidRDefault="0054425B">
            <w:pPr>
              <w:widowControl w:val="0"/>
              <w:ind w:left="5" w:right="-108" w:hanging="113"/>
              <w:jc w:val="left"/>
              <w:rPr>
                <w:b/>
                <w:bCs/>
                <w:sz w:val="18"/>
                <w:szCs w:val="18"/>
              </w:rPr>
            </w:pPr>
            <w:r>
              <w:rPr>
                <w:b/>
                <w:bCs/>
                <w:sz w:val="18"/>
                <w:szCs w:val="18"/>
              </w:rPr>
              <w:t>Краткосрочные</w:t>
            </w:r>
          </w:p>
        </w:tc>
        <w:tc>
          <w:tcPr>
            <w:tcW w:w="1701" w:type="dxa"/>
            <w:tcBorders>
              <w:bottom w:val="single" w:sz="6" w:space="0" w:color="auto"/>
            </w:tcBorders>
            <w:vAlign w:val="bottom"/>
          </w:tcPr>
          <w:p w:rsidR="00FD06F3" w:rsidRDefault="0054425B">
            <w:pPr>
              <w:pStyle w:val="Tabletext"/>
              <w:widowControl w:val="0"/>
              <w:ind w:left="-108" w:right="-108"/>
              <w:jc w:val="center"/>
              <w:rPr>
                <w:b/>
                <w:bCs/>
              </w:rPr>
            </w:pPr>
            <w:r>
              <w:rPr>
                <w:b/>
                <w:bCs/>
              </w:rPr>
              <w:t>2017 г.</w:t>
            </w:r>
          </w:p>
        </w:tc>
        <w:tc>
          <w:tcPr>
            <w:tcW w:w="1701" w:type="dxa"/>
            <w:tcBorders>
              <w:bottom w:val="single" w:sz="6" w:space="0" w:color="auto"/>
            </w:tcBorders>
            <w:vAlign w:val="bottom"/>
          </w:tcPr>
          <w:p w:rsidR="00FD06F3" w:rsidRDefault="0054425B">
            <w:pPr>
              <w:pStyle w:val="Tabletext"/>
              <w:widowControl w:val="0"/>
              <w:ind w:left="-108" w:right="-108"/>
              <w:jc w:val="center"/>
              <w:rPr>
                <w:b/>
                <w:bCs/>
              </w:rPr>
            </w:pPr>
            <w:r>
              <w:rPr>
                <w:b/>
                <w:bCs/>
              </w:rPr>
              <w:t>2016 г.</w:t>
            </w:r>
          </w:p>
        </w:tc>
      </w:tr>
      <w:tr w:rsidR="00FD06F3">
        <w:trPr>
          <w:trHeight w:val="340"/>
          <w:jc w:val="center"/>
        </w:trPr>
        <w:tc>
          <w:tcPr>
            <w:tcW w:w="6236" w:type="dxa"/>
            <w:tcBorders>
              <w:top w:val="single" w:sz="6" w:space="0" w:color="auto"/>
            </w:tcBorders>
            <w:vAlign w:val="bottom"/>
          </w:tcPr>
          <w:p w:rsidR="00FD06F3" w:rsidRDefault="0054425B">
            <w:pPr>
              <w:pStyle w:val="Tabletext"/>
              <w:widowControl w:val="0"/>
              <w:ind w:left="5" w:right="-108" w:hanging="113"/>
              <w:jc w:val="left"/>
            </w:pPr>
            <w:r>
              <w:t>Банковские кредиты</w:t>
            </w:r>
          </w:p>
        </w:tc>
        <w:tc>
          <w:tcPr>
            <w:tcW w:w="1701" w:type="dxa"/>
            <w:tcBorders>
              <w:top w:val="single" w:sz="6" w:space="0" w:color="auto"/>
            </w:tcBorders>
            <w:vAlign w:val="bottom"/>
          </w:tcPr>
          <w:p w:rsidR="00FD06F3" w:rsidRDefault="0054425B">
            <w:pPr>
              <w:widowControl w:val="0"/>
              <w:tabs>
                <w:tab w:val="decimal" w:pos="1247"/>
              </w:tabs>
              <w:jc w:val="left"/>
              <w:rPr>
                <w:sz w:val="18"/>
                <w:szCs w:val="18"/>
              </w:rPr>
            </w:pPr>
            <w:r>
              <w:rPr>
                <w:sz w:val="18"/>
                <w:szCs w:val="18"/>
              </w:rPr>
              <w:t>33 642</w:t>
            </w:r>
          </w:p>
        </w:tc>
        <w:tc>
          <w:tcPr>
            <w:tcW w:w="1701" w:type="dxa"/>
            <w:tcBorders>
              <w:top w:val="single" w:sz="6" w:space="0" w:color="auto"/>
            </w:tcBorders>
            <w:vAlign w:val="bottom"/>
          </w:tcPr>
          <w:p w:rsidR="00FD06F3" w:rsidRDefault="0054425B">
            <w:pPr>
              <w:widowControl w:val="0"/>
              <w:tabs>
                <w:tab w:val="decimal" w:pos="1247"/>
              </w:tabs>
              <w:jc w:val="left"/>
              <w:rPr>
                <w:sz w:val="18"/>
                <w:szCs w:val="18"/>
              </w:rPr>
            </w:pPr>
            <w:r>
              <w:rPr>
                <w:sz w:val="18"/>
                <w:szCs w:val="18"/>
              </w:rPr>
              <w:t>–</w:t>
            </w:r>
          </w:p>
        </w:tc>
      </w:tr>
      <w:tr w:rsidR="00FD06F3">
        <w:trPr>
          <w:trHeight w:val="20"/>
          <w:jc w:val="center"/>
        </w:trPr>
        <w:tc>
          <w:tcPr>
            <w:tcW w:w="6236" w:type="dxa"/>
            <w:vAlign w:val="bottom"/>
          </w:tcPr>
          <w:p w:rsidR="00FD06F3" w:rsidRDefault="0054425B">
            <w:pPr>
              <w:pStyle w:val="Tabletext"/>
              <w:widowControl w:val="0"/>
              <w:ind w:left="5" w:right="-108" w:hanging="113"/>
              <w:jc w:val="left"/>
            </w:pPr>
            <w:r>
              <w:t>Займы, полученные от связанных сторон (Прим. 18.1)</w:t>
            </w:r>
          </w:p>
        </w:tc>
        <w:tc>
          <w:tcPr>
            <w:tcW w:w="1701" w:type="dxa"/>
            <w:tcBorders>
              <w:bottom w:val="single" w:sz="4" w:space="0" w:color="auto"/>
            </w:tcBorders>
            <w:vAlign w:val="bottom"/>
          </w:tcPr>
          <w:p w:rsidR="00FD06F3" w:rsidRDefault="0054425B">
            <w:pPr>
              <w:widowControl w:val="0"/>
              <w:tabs>
                <w:tab w:val="decimal" w:pos="1247"/>
              </w:tabs>
              <w:jc w:val="left"/>
              <w:rPr>
                <w:sz w:val="18"/>
                <w:szCs w:val="18"/>
                <w:highlight w:val="yellow"/>
              </w:rPr>
            </w:pPr>
            <w:r>
              <w:rPr>
                <w:sz w:val="18"/>
                <w:szCs w:val="18"/>
              </w:rPr>
              <w:t>77 246</w:t>
            </w:r>
          </w:p>
        </w:tc>
        <w:tc>
          <w:tcPr>
            <w:tcW w:w="1701" w:type="dxa"/>
            <w:tcBorders>
              <w:bottom w:val="single" w:sz="4" w:space="0" w:color="auto"/>
            </w:tcBorders>
            <w:vAlign w:val="bottom"/>
          </w:tcPr>
          <w:p w:rsidR="00FD06F3" w:rsidRDefault="0054425B">
            <w:pPr>
              <w:widowControl w:val="0"/>
              <w:tabs>
                <w:tab w:val="decimal" w:pos="1247"/>
              </w:tabs>
              <w:jc w:val="left"/>
              <w:rPr>
                <w:sz w:val="18"/>
                <w:szCs w:val="18"/>
                <w:highlight w:val="yellow"/>
              </w:rPr>
            </w:pPr>
            <w:r>
              <w:rPr>
                <w:sz w:val="18"/>
                <w:szCs w:val="18"/>
              </w:rPr>
              <w:t>46 035</w:t>
            </w:r>
          </w:p>
        </w:tc>
      </w:tr>
      <w:tr w:rsidR="00FD06F3">
        <w:trPr>
          <w:trHeight w:val="340"/>
          <w:jc w:val="center"/>
        </w:trPr>
        <w:tc>
          <w:tcPr>
            <w:tcW w:w="6236" w:type="dxa"/>
            <w:tcBorders>
              <w:bottom w:val="nil"/>
            </w:tcBorders>
            <w:vAlign w:val="bottom"/>
          </w:tcPr>
          <w:p w:rsidR="00FD06F3" w:rsidRDefault="00FD06F3">
            <w:pPr>
              <w:pStyle w:val="Tabletext"/>
              <w:widowControl w:val="0"/>
              <w:ind w:left="5" w:right="-108" w:hanging="113"/>
              <w:jc w:val="left"/>
            </w:pPr>
          </w:p>
        </w:tc>
        <w:tc>
          <w:tcPr>
            <w:tcW w:w="1701" w:type="dxa"/>
            <w:tcBorders>
              <w:top w:val="single" w:sz="4" w:space="0" w:color="auto"/>
              <w:bottom w:val="single" w:sz="12" w:space="0" w:color="auto"/>
            </w:tcBorders>
            <w:vAlign w:val="bottom"/>
          </w:tcPr>
          <w:p w:rsidR="00FD06F3" w:rsidRDefault="0054425B">
            <w:pPr>
              <w:widowControl w:val="0"/>
              <w:tabs>
                <w:tab w:val="decimal" w:pos="1247"/>
              </w:tabs>
              <w:jc w:val="left"/>
              <w:rPr>
                <w:sz w:val="18"/>
                <w:szCs w:val="18"/>
              </w:rPr>
            </w:pPr>
            <w:r>
              <w:rPr>
                <w:b/>
                <w:bCs/>
                <w:sz w:val="18"/>
                <w:szCs w:val="18"/>
              </w:rPr>
              <w:t>110 888</w:t>
            </w:r>
          </w:p>
        </w:tc>
        <w:tc>
          <w:tcPr>
            <w:tcW w:w="1701" w:type="dxa"/>
            <w:tcBorders>
              <w:top w:val="single" w:sz="4" w:space="0" w:color="auto"/>
              <w:bottom w:val="single" w:sz="12" w:space="0" w:color="auto"/>
            </w:tcBorders>
            <w:vAlign w:val="bottom"/>
          </w:tcPr>
          <w:p w:rsidR="00FD06F3" w:rsidRDefault="0054425B">
            <w:pPr>
              <w:widowControl w:val="0"/>
              <w:tabs>
                <w:tab w:val="decimal" w:pos="1247"/>
              </w:tabs>
              <w:jc w:val="left"/>
              <w:rPr>
                <w:sz w:val="18"/>
                <w:szCs w:val="18"/>
              </w:rPr>
            </w:pPr>
            <w:r>
              <w:rPr>
                <w:b/>
                <w:bCs/>
                <w:sz w:val="18"/>
                <w:szCs w:val="18"/>
              </w:rPr>
              <w:t>46 035</w:t>
            </w:r>
          </w:p>
        </w:tc>
      </w:tr>
    </w:tbl>
    <w:p w:rsidR="00FD06F3" w:rsidRDefault="00FD06F3">
      <w:pPr>
        <w:widowControl w:val="0"/>
      </w:pPr>
    </w:p>
    <w:p w:rsidR="00FD06F3" w:rsidRDefault="0054425B">
      <w:pPr>
        <w:widowControl w:val="0"/>
      </w:pPr>
      <w:r>
        <w:t>Сроки погашения долгосрочных кредитов и займов представлены ниже:</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widowControl w:val="0"/>
              <w:ind w:left="5" w:right="-108" w:hanging="113"/>
              <w:jc w:val="left"/>
              <w:rPr>
                <w:sz w:val="18"/>
                <w:szCs w:val="18"/>
              </w:rPr>
            </w:pPr>
          </w:p>
        </w:tc>
        <w:tc>
          <w:tcPr>
            <w:tcW w:w="1701" w:type="dxa"/>
            <w:tcBorders>
              <w:bottom w:val="single" w:sz="6" w:space="0" w:color="auto"/>
            </w:tcBorders>
            <w:vAlign w:val="bottom"/>
          </w:tcPr>
          <w:p w:rsidR="00FD06F3" w:rsidRDefault="0054425B">
            <w:pPr>
              <w:pStyle w:val="Tabletext"/>
              <w:widowControl w:val="0"/>
              <w:ind w:left="-108" w:right="-108"/>
              <w:jc w:val="center"/>
              <w:rPr>
                <w:b/>
                <w:bCs/>
              </w:rPr>
            </w:pPr>
            <w:r>
              <w:rPr>
                <w:b/>
                <w:bCs/>
              </w:rPr>
              <w:t>2017 г.</w:t>
            </w:r>
          </w:p>
        </w:tc>
        <w:tc>
          <w:tcPr>
            <w:tcW w:w="1701" w:type="dxa"/>
            <w:tcBorders>
              <w:bottom w:val="single" w:sz="6" w:space="0" w:color="auto"/>
            </w:tcBorders>
            <w:vAlign w:val="bottom"/>
          </w:tcPr>
          <w:p w:rsidR="00FD06F3" w:rsidRDefault="0054425B">
            <w:pPr>
              <w:pStyle w:val="Tabletext"/>
              <w:widowControl w:val="0"/>
              <w:ind w:left="-108" w:right="-108"/>
              <w:jc w:val="center"/>
              <w:rPr>
                <w:b/>
                <w:bCs/>
              </w:rPr>
            </w:pPr>
            <w:r>
              <w:rPr>
                <w:b/>
                <w:bCs/>
              </w:rPr>
              <w:t xml:space="preserve">2016 </w:t>
            </w:r>
            <w:r>
              <w:rPr>
                <w:b/>
                <w:bCs/>
              </w:rPr>
              <w:t>г.</w:t>
            </w:r>
          </w:p>
        </w:tc>
      </w:tr>
      <w:tr w:rsidR="00FD06F3">
        <w:trPr>
          <w:trHeight w:val="340"/>
          <w:jc w:val="center"/>
        </w:trPr>
        <w:tc>
          <w:tcPr>
            <w:tcW w:w="6236" w:type="dxa"/>
            <w:vAlign w:val="bottom"/>
          </w:tcPr>
          <w:p w:rsidR="00FD06F3" w:rsidRDefault="0054425B">
            <w:pPr>
              <w:pStyle w:val="Tabletext"/>
              <w:widowControl w:val="0"/>
              <w:ind w:left="5" w:right="-108" w:hanging="113"/>
              <w:jc w:val="left"/>
            </w:pPr>
            <w:r>
              <w:t>От 1 года до 2 лет</w:t>
            </w:r>
          </w:p>
        </w:tc>
        <w:tc>
          <w:tcPr>
            <w:tcW w:w="1701" w:type="dxa"/>
            <w:tcBorders>
              <w:top w:val="single" w:sz="6" w:space="0" w:color="auto"/>
            </w:tcBorders>
            <w:vAlign w:val="bottom"/>
          </w:tcPr>
          <w:p w:rsidR="00FD06F3" w:rsidRDefault="0054425B">
            <w:pPr>
              <w:widowControl w:val="0"/>
              <w:tabs>
                <w:tab w:val="decimal" w:pos="1247"/>
              </w:tabs>
              <w:jc w:val="left"/>
              <w:rPr>
                <w:sz w:val="18"/>
                <w:szCs w:val="18"/>
              </w:rPr>
            </w:pPr>
            <w:r>
              <w:rPr>
                <w:sz w:val="18"/>
                <w:szCs w:val="18"/>
              </w:rPr>
              <w:t>24 615</w:t>
            </w:r>
          </w:p>
        </w:tc>
        <w:tc>
          <w:tcPr>
            <w:tcW w:w="1701" w:type="dxa"/>
            <w:tcBorders>
              <w:top w:val="single" w:sz="6" w:space="0" w:color="auto"/>
            </w:tcBorders>
            <w:vAlign w:val="bottom"/>
          </w:tcPr>
          <w:p w:rsidR="00FD06F3" w:rsidRDefault="0054425B">
            <w:pPr>
              <w:widowControl w:val="0"/>
              <w:tabs>
                <w:tab w:val="decimal" w:pos="1247"/>
              </w:tabs>
              <w:jc w:val="left"/>
              <w:rPr>
                <w:sz w:val="18"/>
                <w:szCs w:val="18"/>
              </w:rPr>
            </w:pPr>
            <w:r>
              <w:rPr>
                <w:sz w:val="18"/>
                <w:szCs w:val="18"/>
              </w:rPr>
              <w:t>835 999</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От 2 до 5 лет</w:t>
            </w:r>
          </w:p>
        </w:tc>
        <w:tc>
          <w:tcPr>
            <w:tcW w:w="1701" w:type="dxa"/>
            <w:tcBorders>
              <w:bottom w:val="single" w:sz="6" w:space="0" w:color="auto"/>
            </w:tcBorders>
            <w:vAlign w:val="bottom"/>
          </w:tcPr>
          <w:p w:rsidR="00FD06F3" w:rsidRDefault="0054425B">
            <w:pPr>
              <w:widowControl w:val="0"/>
              <w:tabs>
                <w:tab w:val="decimal" w:pos="1247"/>
              </w:tabs>
              <w:jc w:val="left"/>
              <w:rPr>
                <w:sz w:val="18"/>
                <w:szCs w:val="18"/>
              </w:rPr>
            </w:pPr>
            <w:r>
              <w:rPr>
                <w:sz w:val="18"/>
                <w:szCs w:val="18"/>
              </w:rPr>
              <w:t>49 856</w:t>
            </w:r>
          </w:p>
        </w:tc>
        <w:tc>
          <w:tcPr>
            <w:tcW w:w="1701" w:type="dxa"/>
            <w:tcBorders>
              <w:bottom w:val="single" w:sz="6" w:space="0" w:color="auto"/>
            </w:tcBorders>
            <w:vAlign w:val="bottom"/>
          </w:tcPr>
          <w:p w:rsidR="00FD06F3" w:rsidRDefault="0054425B">
            <w:pPr>
              <w:widowControl w:val="0"/>
              <w:tabs>
                <w:tab w:val="decimal" w:pos="1247"/>
              </w:tabs>
              <w:jc w:val="left"/>
              <w:rPr>
                <w:sz w:val="18"/>
                <w:szCs w:val="18"/>
              </w:rPr>
            </w:pPr>
            <w:r>
              <w:rPr>
                <w:sz w:val="18"/>
                <w:szCs w:val="18"/>
              </w:rPr>
              <w:t>130 711</w:t>
            </w:r>
          </w:p>
        </w:tc>
      </w:tr>
      <w:tr w:rsidR="00FD06F3">
        <w:trPr>
          <w:trHeight w:val="340"/>
          <w:jc w:val="center"/>
        </w:trPr>
        <w:tc>
          <w:tcPr>
            <w:tcW w:w="6236" w:type="dxa"/>
            <w:tcBorders>
              <w:bottom w:val="nil"/>
            </w:tcBorders>
            <w:vAlign w:val="bottom"/>
          </w:tcPr>
          <w:p w:rsidR="00FD06F3" w:rsidRDefault="00FD06F3">
            <w:pPr>
              <w:pStyle w:val="Tabletext"/>
              <w:widowControl w:val="0"/>
              <w:ind w:left="5" w:right="-108" w:hanging="113"/>
              <w:jc w:val="left"/>
              <w:rPr>
                <w:b/>
                <w:bCs/>
              </w:rPr>
            </w:pPr>
          </w:p>
        </w:tc>
        <w:tc>
          <w:tcPr>
            <w:tcW w:w="1701" w:type="dxa"/>
            <w:tcBorders>
              <w:top w:val="single" w:sz="4" w:space="0" w:color="auto"/>
              <w:bottom w:val="single" w:sz="12" w:space="0" w:color="auto"/>
            </w:tcBorders>
            <w:vAlign w:val="bottom"/>
          </w:tcPr>
          <w:p w:rsidR="00FD06F3" w:rsidRDefault="0054425B">
            <w:pPr>
              <w:widowControl w:val="0"/>
              <w:tabs>
                <w:tab w:val="decimal" w:pos="1247"/>
              </w:tabs>
              <w:jc w:val="left"/>
              <w:rPr>
                <w:b/>
                <w:sz w:val="18"/>
                <w:szCs w:val="18"/>
              </w:rPr>
            </w:pPr>
            <w:r>
              <w:rPr>
                <w:b/>
                <w:sz w:val="18"/>
                <w:szCs w:val="18"/>
              </w:rPr>
              <w:t>74 471</w:t>
            </w:r>
          </w:p>
        </w:tc>
        <w:tc>
          <w:tcPr>
            <w:tcW w:w="1701" w:type="dxa"/>
            <w:tcBorders>
              <w:top w:val="single" w:sz="4" w:space="0" w:color="auto"/>
              <w:bottom w:val="single" w:sz="12" w:space="0" w:color="auto"/>
            </w:tcBorders>
            <w:vAlign w:val="bottom"/>
          </w:tcPr>
          <w:p w:rsidR="00FD06F3" w:rsidRDefault="0054425B">
            <w:pPr>
              <w:widowControl w:val="0"/>
              <w:tabs>
                <w:tab w:val="decimal" w:pos="1247"/>
              </w:tabs>
              <w:jc w:val="left"/>
              <w:rPr>
                <w:b/>
                <w:sz w:val="18"/>
                <w:szCs w:val="18"/>
              </w:rPr>
            </w:pPr>
            <w:r>
              <w:rPr>
                <w:b/>
                <w:sz w:val="18"/>
                <w:szCs w:val="18"/>
              </w:rPr>
              <w:t>966 710</w:t>
            </w:r>
          </w:p>
        </w:tc>
      </w:tr>
    </w:tbl>
    <w:p w:rsidR="00FD06F3" w:rsidRDefault="00FD06F3">
      <w:pPr>
        <w:widowControl w:val="0"/>
      </w:pPr>
    </w:p>
    <w:p w:rsidR="00FD06F3" w:rsidRDefault="0054425B">
      <w:pPr>
        <w:widowControl w:val="0"/>
      </w:pPr>
      <w:r>
        <w:t xml:space="preserve">По состоянию на 31 декабря 2017 и 2016 гг. банковские кредиты были обеспечены залогом основных средств на 168 883 тыс. руб. </w:t>
      </w:r>
      <w:r>
        <w:rPr>
          <w:bCs/>
          <w:caps/>
        </w:rPr>
        <w:t>(</w:t>
      </w:r>
      <w:r>
        <w:t xml:space="preserve">2016 год: 168 883 тыс. руб.). Все кредиты и </w:t>
      </w:r>
      <w:r>
        <w:t>займы Группы выражены в рублях.</w:t>
      </w:r>
    </w:p>
    <w:p w:rsidR="00FD06F3" w:rsidRDefault="00FD06F3">
      <w:pPr>
        <w:widowControl w:val="0"/>
      </w:pPr>
    </w:p>
    <w:p w:rsidR="00FD06F3" w:rsidRDefault="0054425B">
      <w:pPr>
        <w:widowControl w:val="0"/>
      </w:pPr>
      <w:r>
        <w:t>На 31 декабря 2017 и 2016 гг. эффективная процентная ставка была следующей:</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widowControl w:val="0"/>
              <w:ind w:left="5" w:right="-108" w:hanging="113"/>
              <w:jc w:val="left"/>
              <w:rPr>
                <w:sz w:val="18"/>
                <w:szCs w:val="18"/>
              </w:rPr>
            </w:pPr>
          </w:p>
        </w:tc>
        <w:tc>
          <w:tcPr>
            <w:tcW w:w="1701" w:type="dxa"/>
            <w:tcBorders>
              <w:bottom w:val="single" w:sz="6" w:space="0" w:color="auto"/>
            </w:tcBorders>
            <w:vAlign w:val="bottom"/>
          </w:tcPr>
          <w:p w:rsidR="00FD06F3" w:rsidRDefault="0054425B">
            <w:pPr>
              <w:pStyle w:val="Tabletext"/>
              <w:widowControl w:val="0"/>
              <w:ind w:left="-108" w:right="-108"/>
              <w:jc w:val="center"/>
              <w:rPr>
                <w:b/>
                <w:bCs/>
              </w:rPr>
            </w:pPr>
            <w:r>
              <w:rPr>
                <w:b/>
                <w:bCs/>
              </w:rPr>
              <w:t>2017 г.</w:t>
            </w:r>
          </w:p>
        </w:tc>
        <w:tc>
          <w:tcPr>
            <w:tcW w:w="1701" w:type="dxa"/>
            <w:tcBorders>
              <w:bottom w:val="single" w:sz="6" w:space="0" w:color="auto"/>
            </w:tcBorders>
            <w:vAlign w:val="bottom"/>
          </w:tcPr>
          <w:p w:rsidR="00FD06F3" w:rsidRDefault="0054425B">
            <w:pPr>
              <w:pStyle w:val="Tabletext"/>
              <w:widowControl w:val="0"/>
              <w:ind w:left="-108" w:right="-108"/>
              <w:jc w:val="center"/>
              <w:rPr>
                <w:b/>
                <w:bCs/>
              </w:rPr>
            </w:pPr>
            <w:r>
              <w:rPr>
                <w:b/>
                <w:bCs/>
              </w:rPr>
              <w:t>2016 г.</w:t>
            </w:r>
          </w:p>
        </w:tc>
      </w:tr>
      <w:tr w:rsidR="00FD06F3">
        <w:trPr>
          <w:trHeight w:val="340"/>
          <w:jc w:val="center"/>
        </w:trPr>
        <w:tc>
          <w:tcPr>
            <w:tcW w:w="6236" w:type="dxa"/>
            <w:vAlign w:val="bottom"/>
          </w:tcPr>
          <w:p w:rsidR="00FD06F3" w:rsidRDefault="0054425B">
            <w:pPr>
              <w:pStyle w:val="Tabletext"/>
              <w:widowControl w:val="0"/>
              <w:ind w:left="5" w:right="-108" w:hanging="113"/>
              <w:jc w:val="left"/>
            </w:pPr>
            <w:r>
              <w:t>Российский рубль</w:t>
            </w:r>
          </w:p>
        </w:tc>
        <w:tc>
          <w:tcPr>
            <w:tcW w:w="1701" w:type="dxa"/>
            <w:tcBorders>
              <w:top w:val="single" w:sz="6" w:space="0" w:color="auto"/>
            </w:tcBorders>
            <w:vAlign w:val="bottom"/>
          </w:tcPr>
          <w:p w:rsidR="00FD06F3" w:rsidRDefault="0054425B">
            <w:pPr>
              <w:pStyle w:val="Tabletext"/>
              <w:widowControl w:val="0"/>
              <w:ind w:left="-108" w:right="-108"/>
              <w:jc w:val="center"/>
            </w:pPr>
            <w:r>
              <w:t>8,25-11,10%</w:t>
            </w:r>
          </w:p>
        </w:tc>
        <w:tc>
          <w:tcPr>
            <w:tcW w:w="1701" w:type="dxa"/>
            <w:tcBorders>
              <w:top w:val="single" w:sz="6" w:space="0" w:color="auto"/>
            </w:tcBorders>
            <w:vAlign w:val="bottom"/>
          </w:tcPr>
          <w:p w:rsidR="00FD06F3" w:rsidRDefault="0054425B">
            <w:pPr>
              <w:pStyle w:val="Tabletext"/>
              <w:widowControl w:val="0"/>
              <w:ind w:left="-108" w:right="-108"/>
              <w:jc w:val="center"/>
            </w:pPr>
            <w:r>
              <w:t>8,25-13,95%</w:t>
            </w:r>
          </w:p>
        </w:tc>
      </w:tr>
    </w:tbl>
    <w:p w:rsidR="00FD06F3" w:rsidRDefault="0054425B">
      <w:pPr>
        <w:pStyle w:val="12"/>
      </w:pPr>
      <w:bookmarkStart w:id="108" w:name="_Toc354762889"/>
      <w:bookmarkStart w:id="109" w:name="_Toc356225094"/>
      <w:bookmarkStart w:id="110" w:name="_Toc387743860"/>
      <w:bookmarkStart w:id="111" w:name="_Toc387743937"/>
      <w:r>
        <w:br w:type="page"/>
      </w:r>
      <w:bookmarkStart w:id="112" w:name="_Toc512452525"/>
      <w:r>
        <w:lastRenderedPageBreak/>
        <w:t>12.</w:t>
      </w:r>
      <w:r>
        <w:tab/>
        <w:t>Налог на прибыль</w:t>
      </w:r>
      <w:bookmarkEnd w:id="108"/>
      <w:bookmarkEnd w:id="109"/>
      <w:bookmarkEnd w:id="110"/>
      <w:bookmarkEnd w:id="111"/>
      <w:bookmarkEnd w:id="112"/>
    </w:p>
    <w:p w:rsidR="00FD06F3" w:rsidRDefault="00FD06F3">
      <w:pPr>
        <w:widowControl w:val="0"/>
      </w:pPr>
    </w:p>
    <w:p w:rsidR="00FD06F3" w:rsidRDefault="0054425B">
      <w:pPr>
        <w:pStyle w:val="Text33"/>
        <w:widowControl w:val="0"/>
        <w:spacing w:after="0"/>
      </w:pPr>
      <w:r>
        <w:t xml:space="preserve">Ниже приведен расчет для приведения официальной (расчетной) </w:t>
      </w:r>
      <w:r>
        <w:t>ставки налога в соответствие с эффективной налоговой ставкой за 2017 и 2016 годы:</w:t>
      </w:r>
    </w:p>
    <w:p w:rsidR="00FD06F3" w:rsidRDefault="00FD06F3"/>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pStyle w:val="Tabletext"/>
              <w:widowControl w:val="0"/>
              <w:ind w:left="5" w:right="-108" w:hanging="113"/>
              <w:jc w:val="left"/>
            </w:pPr>
          </w:p>
        </w:tc>
        <w:tc>
          <w:tcPr>
            <w:tcW w:w="1701" w:type="dxa"/>
            <w:tcBorders>
              <w:bottom w:val="single" w:sz="6" w:space="0" w:color="auto"/>
            </w:tcBorders>
            <w:vAlign w:val="bottom"/>
          </w:tcPr>
          <w:p w:rsidR="00FD06F3" w:rsidRDefault="0054425B">
            <w:pPr>
              <w:pStyle w:val="Tabletext"/>
              <w:widowControl w:val="0"/>
              <w:ind w:left="-108" w:right="-108"/>
              <w:jc w:val="center"/>
              <w:rPr>
                <w:b/>
                <w:bCs/>
              </w:rPr>
            </w:pPr>
            <w:r>
              <w:rPr>
                <w:b/>
                <w:bCs/>
              </w:rPr>
              <w:t>2017 г.</w:t>
            </w:r>
          </w:p>
        </w:tc>
        <w:tc>
          <w:tcPr>
            <w:tcW w:w="1701" w:type="dxa"/>
            <w:tcBorders>
              <w:bottom w:val="single" w:sz="6" w:space="0" w:color="auto"/>
            </w:tcBorders>
            <w:vAlign w:val="bottom"/>
          </w:tcPr>
          <w:p w:rsidR="00FD06F3" w:rsidRDefault="0054425B">
            <w:pPr>
              <w:pStyle w:val="Tabletext"/>
              <w:widowControl w:val="0"/>
              <w:ind w:left="-108" w:right="-108"/>
              <w:jc w:val="center"/>
              <w:rPr>
                <w:b/>
                <w:bCs/>
              </w:rPr>
            </w:pPr>
            <w:r>
              <w:rPr>
                <w:b/>
                <w:bCs/>
              </w:rPr>
              <w:t>2016 г.</w:t>
            </w:r>
          </w:p>
        </w:tc>
      </w:tr>
      <w:tr w:rsidR="00FD06F3">
        <w:trPr>
          <w:trHeight w:val="340"/>
          <w:jc w:val="center"/>
        </w:trPr>
        <w:tc>
          <w:tcPr>
            <w:tcW w:w="6236" w:type="dxa"/>
            <w:vAlign w:val="bottom"/>
          </w:tcPr>
          <w:p w:rsidR="00FD06F3" w:rsidRDefault="0054425B">
            <w:pPr>
              <w:pStyle w:val="Tabletext"/>
              <w:widowControl w:val="0"/>
              <w:ind w:left="5" w:right="-108" w:hanging="113"/>
              <w:jc w:val="left"/>
              <w:rPr>
                <w:b/>
                <w:bCs/>
              </w:rPr>
            </w:pPr>
            <w:r>
              <w:rPr>
                <w:b/>
                <w:bCs/>
              </w:rPr>
              <w:t>Прибыль до налогообложения</w:t>
            </w:r>
          </w:p>
        </w:tc>
        <w:tc>
          <w:tcPr>
            <w:tcW w:w="1701" w:type="dxa"/>
            <w:tcBorders>
              <w:top w:val="single" w:sz="6" w:space="0" w:color="auto"/>
            </w:tcBorders>
            <w:vAlign w:val="bottom"/>
          </w:tcPr>
          <w:p w:rsidR="00FD06F3" w:rsidRDefault="0054425B">
            <w:pPr>
              <w:widowControl w:val="0"/>
              <w:tabs>
                <w:tab w:val="decimal" w:pos="1247"/>
              </w:tabs>
              <w:jc w:val="left"/>
              <w:rPr>
                <w:b/>
                <w:bCs/>
                <w:sz w:val="18"/>
                <w:szCs w:val="18"/>
              </w:rPr>
            </w:pPr>
            <w:r>
              <w:rPr>
                <w:b/>
                <w:bCs/>
                <w:sz w:val="18"/>
                <w:szCs w:val="18"/>
              </w:rPr>
              <w:t>1 279 216</w:t>
            </w:r>
          </w:p>
        </w:tc>
        <w:tc>
          <w:tcPr>
            <w:tcW w:w="1701" w:type="dxa"/>
            <w:tcBorders>
              <w:top w:val="single" w:sz="6" w:space="0" w:color="auto"/>
            </w:tcBorders>
            <w:vAlign w:val="bottom"/>
          </w:tcPr>
          <w:p w:rsidR="00FD06F3" w:rsidRDefault="0054425B">
            <w:pPr>
              <w:widowControl w:val="0"/>
              <w:tabs>
                <w:tab w:val="decimal" w:pos="1247"/>
              </w:tabs>
              <w:jc w:val="left"/>
              <w:rPr>
                <w:b/>
                <w:bCs/>
                <w:sz w:val="18"/>
                <w:szCs w:val="18"/>
              </w:rPr>
            </w:pPr>
            <w:r>
              <w:rPr>
                <w:b/>
                <w:bCs/>
                <w:sz w:val="18"/>
                <w:szCs w:val="18"/>
              </w:rPr>
              <w:t>198 964</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Официальная ставка налога на прибыль</w:t>
            </w:r>
          </w:p>
        </w:tc>
        <w:tc>
          <w:tcPr>
            <w:tcW w:w="1701" w:type="dxa"/>
            <w:tcBorders>
              <w:bottom w:val="single" w:sz="6" w:space="0" w:color="auto"/>
            </w:tcBorders>
            <w:vAlign w:val="bottom"/>
          </w:tcPr>
          <w:p w:rsidR="00FD06F3" w:rsidRDefault="0054425B">
            <w:pPr>
              <w:widowControl w:val="0"/>
              <w:tabs>
                <w:tab w:val="decimal" w:pos="1247"/>
              </w:tabs>
              <w:jc w:val="left"/>
              <w:rPr>
                <w:bCs/>
                <w:sz w:val="18"/>
                <w:szCs w:val="18"/>
              </w:rPr>
            </w:pPr>
            <w:r>
              <w:rPr>
                <w:bCs/>
                <w:sz w:val="18"/>
                <w:szCs w:val="18"/>
              </w:rPr>
              <w:t>20%</w:t>
            </w:r>
          </w:p>
        </w:tc>
        <w:tc>
          <w:tcPr>
            <w:tcW w:w="1701" w:type="dxa"/>
            <w:tcBorders>
              <w:bottom w:val="single" w:sz="6" w:space="0" w:color="auto"/>
            </w:tcBorders>
            <w:vAlign w:val="bottom"/>
          </w:tcPr>
          <w:p w:rsidR="00FD06F3" w:rsidRDefault="0054425B">
            <w:pPr>
              <w:widowControl w:val="0"/>
              <w:tabs>
                <w:tab w:val="decimal" w:pos="1247"/>
              </w:tabs>
              <w:jc w:val="left"/>
              <w:rPr>
                <w:bCs/>
                <w:sz w:val="18"/>
                <w:szCs w:val="18"/>
              </w:rPr>
            </w:pPr>
            <w:r>
              <w:rPr>
                <w:bCs/>
                <w:sz w:val="18"/>
                <w:szCs w:val="18"/>
              </w:rPr>
              <w:t>20%</w:t>
            </w:r>
          </w:p>
        </w:tc>
      </w:tr>
      <w:tr w:rsidR="00FD06F3">
        <w:trPr>
          <w:trHeight w:val="23"/>
          <w:jc w:val="center"/>
        </w:trPr>
        <w:tc>
          <w:tcPr>
            <w:tcW w:w="6236" w:type="dxa"/>
            <w:vAlign w:val="bottom"/>
          </w:tcPr>
          <w:p w:rsidR="00FD06F3" w:rsidRDefault="0054425B">
            <w:pPr>
              <w:pStyle w:val="Tabletext"/>
              <w:widowControl w:val="0"/>
              <w:ind w:left="5" w:right="-108" w:hanging="113"/>
              <w:jc w:val="left"/>
              <w:rPr>
                <w:b/>
                <w:bCs/>
              </w:rPr>
            </w:pPr>
            <w:r>
              <w:rPr>
                <w:b/>
                <w:bCs/>
              </w:rPr>
              <w:t>Теоретические расходы по налогу по официальной налоговой ставке</w:t>
            </w:r>
          </w:p>
        </w:tc>
        <w:tc>
          <w:tcPr>
            <w:tcW w:w="1701" w:type="dxa"/>
            <w:tcBorders>
              <w:top w:val="single" w:sz="6" w:space="0" w:color="auto"/>
            </w:tcBorders>
            <w:vAlign w:val="bottom"/>
          </w:tcPr>
          <w:p w:rsidR="00FD06F3" w:rsidRDefault="0054425B">
            <w:pPr>
              <w:widowControl w:val="0"/>
              <w:tabs>
                <w:tab w:val="decimal" w:pos="1247"/>
              </w:tabs>
              <w:jc w:val="left"/>
              <w:rPr>
                <w:b/>
                <w:bCs/>
                <w:sz w:val="18"/>
                <w:szCs w:val="18"/>
              </w:rPr>
            </w:pPr>
            <w:r>
              <w:rPr>
                <w:b/>
                <w:bCs/>
                <w:sz w:val="18"/>
                <w:szCs w:val="18"/>
              </w:rPr>
              <w:t>255 843</w:t>
            </w:r>
          </w:p>
        </w:tc>
        <w:tc>
          <w:tcPr>
            <w:tcW w:w="1701" w:type="dxa"/>
            <w:tcBorders>
              <w:top w:val="single" w:sz="6" w:space="0" w:color="auto"/>
            </w:tcBorders>
            <w:vAlign w:val="bottom"/>
          </w:tcPr>
          <w:p w:rsidR="00FD06F3" w:rsidRDefault="0054425B">
            <w:pPr>
              <w:widowControl w:val="0"/>
              <w:tabs>
                <w:tab w:val="decimal" w:pos="1247"/>
              </w:tabs>
              <w:jc w:val="left"/>
              <w:rPr>
                <w:b/>
                <w:sz w:val="18"/>
                <w:szCs w:val="18"/>
              </w:rPr>
            </w:pPr>
            <w:r>
              <w:rPr>
                <w:b/>
                <w:sz w:val="18"/>
                <w:szCs w:val="18"/>
              </w:rPr>
              <w:t>39 793</w:t>
            </w:r>
          </w:p>
        </w:tc>
      </w:tr>
      <w:tr w:rsidR="00FD06F3">
        <w:trPr>
          <w:trHeight w:val="23"/>
          <w:jc w:val="center"/>
        </w:trPr>
        <w:tc>
          <w:tcPr>
            <w:tcW w:w="6236" w:type="dxa"/>
            <w:vAlign w:val="bottom"/>
          </w:tcPr>
          <w:p w:rsidR="00FD06F3" w:rsidRDefault="0054425B">
            <w:pPr>
              <w:pStyle w:val="Tabletext"/>
              <w:widowControl w:val="0"/>
              <w:ind w:left="5" w:right="-108" w:hanging="113"/>
              <w:jc w:val="left"/>
              <w:rPr>
                <w:b/>
                <w:bCs/>
              </w:rPr>
            </w:pPr>
            <w:r>
              <w:rPr>
                <w:b/>
                <w:bCs/>
              </w:rPr>
              <w:t xml:space="preserve"> </w:t>
            </w:r>
          </w:p>
        </w:tc>
        <w:tc>
          <w:tcPr>
            <w:tcW w:w="1701" w:type="dxa"/>
            <w:vAlign w:val="bottom"/>
          </w:tcPr>
          <w:p w:rsidR="00FD06F3" w:rsidRDefault="00FD06F3">
            <w:pPr>
              <w:widowControl w:val="0"/>
              <w:tabs>
                <w:tab w:val="decimal" w:pos="1247"/>
              </w:tabs>
              <w:jc w:val="left"/>
              <w:rPr>
                <w:b/>
                <w:sz w:val="18"/>
                <w:szCs w:val="18"/>
              </w:rPr>
            </w:pPr>
          </w:p>
        </w:tc>
        <w:tc>
          <w:tcPr>
            <w:tcW w:w="1701" w:type="dxa"/>
            <w:vAlign w:val="bottom"/>
          </w:tcPr>
          <w:p w:rsidR="00FD06F3" w:rsidRDefault="00FD06F3">
            <w:pPr>
              <w:widowControl w:val="0"/>
              <w:tabs>
                <w:tab w:val="decimal" w:pos="1247"/>
              </w:tabs>
              <w:jc w:val="left"/>
              <w:rPr>
                <w:b/>
                <w:sz w:val="18"/>
                <w:szCs w:val="18"/>
              </w:rPr>
            </w:pPr>
          </w:p>
        </w:tc>
      </w:tr>
      <w:tr w:rsidR="00FD06F3">
        <w:trPr>
          <w:trHeight w:val="23"/>
          <w:jc w:val="center"/>
        </w:trPr>
        <w:tc>
          <w:tcPr>
            <w:tcW w:w="6236" w:type="dxa"/>
            <w:vAlign w:val="bottom"/>
          </w:tcPr>
          <w:p w:rsidR="00FD06F3" w:rsidRDefault="0054425B">
            <w:pPr>
              <w:pStyle w:val="Tabletext"/>
              <w:widowControl w:val="0"/>
              <w:ind w:left="5" w:right="-108" w:hanging="113"/>
              <w:jc w:val="left"/>
            </w:pPr>
            <w:r>
              <w:t>Влияние на прибыль, облагаемую налогом по более низкой ставке*</w:t>
            </w:r>
          </w:p>
        </w:tc>
        <w:tc>
          <w:tcPr>
            <w:tcW w:w="1701" w:type="dxa"/>
            <w:vAlign w:val="bottom"/>
          </w:tcPr>
          <w:p w:rsidR="00FD06F3" w:rsidRDefault="0054425B">
            <w:pPr>
              <w:widowControl w:val="0"/>
              <w:tabs>
                <w:tab w:val="decimal" w:pos="1247"/>
              </w:tabs>
              <w:jc w:val="left"/>
              <w:rPr>
                <w:sz w:val="18"/>
                <w:szCs w:val="18"/>
              </w:rPr>
            </w:pPr>
            <w:r>
              <w:rPr>
                <w:sz w:val="18"/>
                <w:szCs w:val="18"/>
              </w:rPr>
              <w:t>(43 889)</w:t>
            </w:r>
          </w:p>
        </w:tc>
        <w:tc>
          <w:tcPr>
            <w:tcW w:w="1701" w:type="dxa"/>
            <w:vAlign w:val="bottom"/>
          </w:tcPr>
          <w:p w:rsidR="00FD06F3" w:rsidRDefault="0054425B">
            <w:pPr>
              <w:widowControl w:val="0"/>
              <w:tabs>
                <w:tab w:val="decimal" w:pos="1247"/>
              </w:tabs>
              <w:jc w:val="left"/>
              <w:rPr>
                <w:sz w:val="18"/>
                <w:szCs w:val="18"/>
              </w:rPr>
            </w:pPr>
            <w:r>
              <w:rPr>
                <w:sz w:val="18"/>
                <w:szCs w:val="18"/>
              </w:rPr>
              <w:t>(3 534)</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Расходы, не уменьшающие налогооблагаемую базу</w:t>
            </w:r>
          </w:p>
        </w:tc>
        <w:tc>
          <w:tcPr>
            <w:tcW w:w="1701" w:type="dxa"/>
            <w:vAlign w:val="bottom"/>
          </w:tcPr>
          <w:p w:rsidR="00FD06F3" w:rsidRDefault="0054425B">
            <w:pPr>
              <w:widowControl w:val="0"/>
              <w:tabs>
                <w:tab w:val="decimal" w:pos="1247"/>
              </w:tabs>
              <w:jc w:val="left"/>
              <w:rPr>
                <w:sz w:val="18"/>
                <w:szCs w:val="18"/>
              </w:rPr>
            </w:pPr>
            <w:r>
              <w:rPr>
                <w:sz w:val="18"/>
                <w:szCs w:val="18"/>
              </w:rPr>
              <w:t>32 568</w:t>
            </w:r>
          </w:p>
        </w:tc>
        <w:tc>
          <w:tcPr>
            <w:tcW w:w="1701" w:type="dxa"/>
            <w:vAlign w:val="bottom"/>
          </w:tcPr>
          <w:p w:rsidR="00FD06F3" w:rsidRDefault="0054425B">
            <w:pPr>
              <w:widowControl w:val="0"/>
              <w:tabs>
                <w:tab w:val="decimal" w:pos="1247"/>
              </w:tabs>
              <w:jc w:val="left"/>
              <w:rPr>
                <w:sz w:val="18"/>
                <w:szCs w:val="18"/>
              </w:rPr>
            </w:pPr>
            <w:r>
              <w:rPr>
                <w:sz w:val="18"/>
                <w:szCs w:val="18"/>
              </w:rPr>
              <w:t>34 569</w:t>
            </w:r>
          </w:p>
        </w:tc>
      </w:tr>
      <w:tr w:rsidR="00FD06F3">
        <w:trPr>
          <w:trHeight w:val="340"/>
          <w:jc w:val="center"/>
        </w:trPr>
        <w:tc>
          <w:tcPr>
            <w:tcW w:w="6236" w:type="dxa"/>
            <w:tcBorders>
              <w:bottom w:val="nil"/>
            </w:tcBorders>
            <w:vAlign w:val="bottom"/>
          </w:tcPr>
          <w:p w:rsidR="00FD06F3" w:rsidRDefault="0054425B">
            <w:pPr>
              <w:pStyle w:val="Tabletext"/>
              <w:widowControl w:val="0"/>
              <w:ind w:left="5" w:right="-108" w:hanging="113"/>
              <w:jc w:val="left"/>
              <w:rPr>
                <w:b/>
                <w:bCs/>
              </w:rPr>
            </w:pPr>
            <w:r>
              <w:rPr>
                <w:b/>
                <w:bCs/>
              </w:rPr>
              <w:t>Расход по налогу на прибыль</w:t>
            </w:r>
          </w:p>
        </w:tc>
        <w:tc>
          <w:tcPr>
            <w:tcW w:w="1701" w:type="dxa"/>
            <w:tcBorders>
              <w:top w:val="single" w:sz="6" w:space="0" w:color="auto"/>
              <w:bottom w:val="single" w:sz="12" w:space="0" w:color="auto"/>
            </w:tcBorders>
            <w:vAlign w:val="bottom"/>
          </w:tcPr>
          <w:p w:rsidR="00FD06F3" w:rsidRDefault="0054425B">
            <w:pPr>
              <w:widowControl w:val="0"/>
              <w:tabs>
                <w:tab w:val="decimal" w:pos="1247"/>
              </w:tabs>
              <w:jc w:val="left"/>
              <w:rPr>
                <w:b/>
                <w:bCs/>
                <w:sz w:val="18"/>
                <w:szCs w:val="18"/>
              </w:rPr>
            </w:pPr>
            <w:r>
              <w:rPr>
                <w:b/>
                <w:bCs/>
                <w:sz w:val="18"/>
                <w:szCs w:val="18"/>
              </w:rPr>
              <w:t>244 522</w:t>
            </w:r>
          </w:p>
        </w:tc>
        <w:tc>
          <w:tcPr>
            <w:tcW w:w="1701" w:type="dxa"/>
            <w:tcBorders>
              <w:top w:val="single" w:sz="6" w:space="0" w:color="auto"/>
              <w:bottom w:val="single" w:sz="12" w:space="0" w:color="auto"/>
            </w:tcBorders>
            <w:vAlign w:val="bottom"/>
          </w:tcPr>
          <w:p w:rsidR="00FD06F3" w:rsidRDefault="0054425B">
            <w:pPr>
              <w:widowControl w:val="0"/>
              <w:tabs>
                <w:tab w:val="decimal" w:pos="1247"/>
              </w:tabs>
              <w:jc w:val="left"/>
              <w:rPr>
                <w:b/>
                <w:bCs/>
                <w:sz w:val="18"/>
                <w:szCs w:val="18"/>
              </w:rPr>
            </w:pPr>
            <w:r>
              <w:rPr>
                <w:b/>
                <w:bCs/>
                <w:sz w:val="18"/>
                <w:szCs w:val="18"/>
              </w:rPr>
              <w:t>70 828</w:t>
            </w:r>
          </w:p>
        </w:tc>
      </w:tr>
    </w:tbl>
    <w:p w:rsidR="00FD06F3" w:rsidRDefault="00FD06F3">
      <w:pPr>
        <w:widowControl w:val="0"/>
        <w:rPr>
          <w:sz w:val="12"/>
          <w:szCs w:val="12"/>
        </w:rPr>
      </w:pPr>
    </w:p>
    <w:p w:rsidR="00FD06F3" w:rsidRDefault="0054425B">
      <w:pPr>
        <w:widowControl w:val="0"/>
        <w:ind w:left="284" w:hanging="284"/>
        <w:rPr>
          <w:sz w:val="16"/>
          <w:szCs w:val="16"/>
        </w:rPr>
      </w:pPr>
      <w:r>
        <w:rPr>
          <w:sz w:val="16"/>
          <w:szCs w:val="16"/>
        </w:rPr>
        <w:t>*</w:t>
      </w:r>
      <w:r>
        <w:rPr>
          <w:sz w:val="16"/>
          <w:szCs w:val="16"/>
        </w:rPr>
        <w:tab/>
        <w:t xml:space="preserve">Компания получила право применения льготной </w:t>
      </w:r>
      <w:r>
        <w:rPr>
          <w:sz w:val="16"/>
          <w:szCs w:val="16"/>
        </w:rPr>
        <w:t>ставки 15,5% для производственной деятельности на территории г. Москвы в соответствии с присвоенным статусом промышленного комплекса.</w:t>
      </w:r>
    </w:p>
    <w:p w:rsidR="00FD06F3" w:rsidRDefault="00FD06F3">
      <w:pPr>
        <w:widowControl w:val="0"/>
      </w:pPr>
    </w:p>
    <w:p w:rsidR="00FD06F3" w:rsidRDefault="0054425B">
      <w:pPr>
        <w:widowControl w:val="0"/>
      </w:pPr>
      <w:r>
        <w:t>Налог на прибыль по состоянию на 31 декабря 2017 и 2016 гг. представлен ниже:</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widowControl w:val="0"/>
              <w:ind w:left="5" w:right="-108" w:hanging="113"/>
              <w:jc w:val="left"/>
              <w:rPr>
                <w:b/>
                <w:bCs/>
                <w:sz w:val="18"/>
                <w:szCs w:val="18"/>
              </w:rPr>
            </w:pPr>
          </w:p>
        </w:tc>
        <w:tc>
          <w:tcPr>
            <w:tcW w:w="1701" w:type="dxa"/>
            <w:tcBorders>
              <w:bottom w:val="single" w:sz="6" w:space="0" w:color="auto"/>
            </w:tcBorders>
            <w:vAlign w:val="bottom"/>
          </w:tcPr>
          <w:p w:rsidR="00FD06F3" w:rsidRDefault="0054425B">
            <w:pPr>
              <w:pStyle w:val="Tabletext"/>
              <w:widowControl w:val="0"/>
              <w:ind w:left="-108" w:right="-108"/>
              <w:jc w:val="center"/>
              <w:rPr>
                <w:b/>
                <w:bCs/>
              </w:rPr>
            </w:pPr>
            <w:r>
              <w:rPr>
                <w:b/>
                <w:bCs/>
              </w:rPr>
              <w:t>2017 г.</w:t>
            </w:r>
          </w:p>
        </w:tc>
        <w:tc>
          <w:tcPr>
            <w:tcW w:w="1701" w:type="dxa"/>
            <w:tcBorders>
              <w:bottom w:val="single" w:sz="6" w:space="0" w:color="auto"/>
            </w:tcBorders>
            <w:vAlign w:val="bottom"/>
          </w:tcPr>
          <w:p w:rsidR="00FD06F3" w:rsidRDefault="0054425B">
            <w:pPr>
              <w:pStyle w:val="Tabletext"/>
              <w:widowControl w:val="0"/>
              <w:ind w:left="-108" w:right="-108"/>
              <w:jc w:val="center"/>
              <w:rPr>
                <w:b/>
                <w:bCs/>
              </w:rPr>
            </w:pPr>
            <w:r>
              <w:rPr>
                <w:b/>
                <w:bCs/>
              </w:rPr>
              <w:t>2016 г.</w:t>
            </w:r>
          </w:p>
        </w:tc>
      </w:tr>
      <w:tr w:rsidR="00FD06F3">
        <w:trPr>
          <w:trHeight w:val="340"/>
          <w:jc w:val="center"/>
        </w:trPr>
        <w:tc>
          <w:tcPr>
            <w:tcW w:w="6236" w:type="dxa"/>
            <w:vAlign w:val="bottom"/>
          </w:tcPr>
          <w:p w:rsidR="00FD06F3" w:rsidRDefault="0054425B">
            <w:pPr>
              <w:pStyle w:val="Tabletext"/>
              <w:widowControl w:val="0"/>
              <w:ind w:left="5" w:right="-108" w:hanging="113"/>
              <w:jc w:val="left"/>
            </w:pPr>
            <w:r>
              <w:t xml:space="preserve">Текущая часть налога на </w:t>
            </w:r>
            <w:r>
              <w:t>прибыль</w:t>
            </w:r>
          </w:p>
        </w:tc>
        <w:tc>
          <w:tcPr>
            <w:tcW w:w="1701" w:type="dxa"/>
            <w:tcBorders>
              <w:top w:val="single" w:sz="6" w:space="0" w:color="auto"/>
            </w:tcBorders>
            <w:vAlign w:val="bottom"/>
          </w:tcPr>
          <w:p w:rsidR="00FD06F3" w:rsidRDefault="0054425B">
            <w:pPr>
              <w:pStyle w:val="Tabletext"/>
              <w:widowControl w:val="0"/>
              <w:tabs>
                <w:tab w:val="decimal" w:pos="1247"/>
              </w:tabs>
              <w:jc w:val="left"/>
            </w:pPr>
            <w:r>
              <w:t>275 415</w:t>
            </w:r>
          </w:p>
        </w:tc>
        <w:tc>
          <w:tcPr>
            <w:tcW w:w="1701" w:type="dxa"/>
            <w:tcBorders>
              <w:top w:val="single" w:sz="6" w:space="0" w:color="auto"/>
            </w:tcBorders>
            <w:vAlign w:val="bottom"/>
          </w:tcPr>
          <w:p w:rsidR="00FD06F3" w:rsidRDefault="0054425B">
            <w:pPr>
              <w:pStyle w:val="Tabletext"/>
              <w:widowControl w:val="0"/>
              <w:tabs>
                <w:tab w:val="decimal" w:pos="1247"/>
              </w:tabs>
              <w:jc w:val="left"/>
            </w:pPr>
            <w:r>
              <w:t>65 918</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Отложенный налог на прибыль</w:t>
            </w:r>
          </w:p>
        </w:tc>
        <w:tc>
          <w:tcPr>
            <w:tcW w:w="1701" w:type="dxa"/>
            <w:tcBorders>
              <w:bottom w:val="single" w:sz="6" w:space="0" w:color="auto"/>
            </w:tcBorders>
            <w:vAlign w:val="bottom"/>
          </w:tcPr>
          <w:p w:rsidR="00FD06F3" w:rsidRDefault="0054425B">
            <w:pPr>
              <w:pStyle w:val="Tabletext"/>
              <w:widowControl w:val="0"/>
              <w:tabs>
                <w:tab w:val="decimal" w:pos="1247"/>
              </w:tabs>
              <w:jc w:val="left"/>
            </w:pPr>
            <w:r>
              <w:t>(30 893)</w:t>
            </w:r>
          </w:p>
        </w:tc>
        <w:tc>
          <w:tcPr>
            <w:tcW w:w="1701" w:type="dxa"/>
            <w:tcBorders>
              <w:bottom w:val="single" w:sz="6" w:space="0" w:color="auto"/>
            </w:tcBorders>
            <w:vAlign w:val="bottom"/>
          </w:tcPr>
          <w:p w:rsidR="00FD06F3" w:rsidRDefault="0054425B">
            <w:pPr>
              <w:pStyle w:val="Tabletext"/>
              <w:widowControl w:val="0"/>
              <w:tabs>
                <w:tab w:val="decimal" w:pos="1247"/>
              </w:tabs>
              <w:jc w:val="left"/>
            </w:pPr>
            <w:r>
              <w:t>4 910</w:t>
            </w:r>
          </w:p>
        </w:tc>
      </w:tr>
      <w:tr w:rsidR="00FD06F3">
        <w:trPr>
          <w:trHeight w:val="340"/>
          <w:jc w:val="center"/>
        </w:trPr>
        <w:tc>
          <w:tcPr>
            <w:tcW w:w="6236" w:type="dxa"/>
            <w:vAlign w:val="bottom"/>
          </w:tcPr>
          <w:p w:rsidR="00FD06F3" w:rsidRDefault="00FD06F3">
            <w:pPr>
              <w:pStyle w:val="Tabletext"/>
              <w:widowControl w:val="0"/>
              <w:ind w:left="5" w:right="-108" w:hanging="113"/>
              <w:jc w:val="left"/>
            </w:pPr>
          </w:p>
        </w:tc>
        <w:tc>
          <w:tcPr>
            <w:tcW w:w="1701" w:type="dxa"/>
            <w:tcBorders>
              <w:top w:val="single" w:sz="6" w:space="0" w:color="auto"/>
              <w:bottom w:val="single" w:sz="12" w:space="0" w:color="auto"/>
            </w:tcBorders>
            <w:vAlign w:val="bottom"/>
          </w:tcPr>
          <w:p w:rsidR="00FD06F3" w:rsidRDefault="0054425B">
            <w:pPr>
              <w:pStyle w:val="Tabletext"/>
              <w:widowControl w:val="0"/>
              <w:tabs>
                <w:tab w:val="decimal" w:pos="1247"/>
              </w:tabs>
              <w:jc w:val="left"/>
              <w:rPr>
                <w:b/>
              </w:rPr>
            </w:pPr>
            <w:r>
              <w:rPr>
                <w:b/>
              </w:rPr>
              <w:t>244 521</w:t>
            </w:r>
          </w:p>
        </w:tc>
        <w:tc>
          <w:tcPr>
            <w:tcW w:w="1701" w:type="dxa"/>
            <w:tcBorders>
              <w:top w:val="single" w:sz="6" w:space="0" w:color="auto"/>
              <w:bottom w:val="single" w:sz="12" w:space="0" w:color="auto"/>
            </w:tcBorders>
            <w:vAlign w:val="bottom"/>
          </w:tcPr>
          <w:p w:rsidR="00FD06F3" w:rsidRDefault="0054425B">
            <w:pPr>
              <w:pStyle w:val="Tabletext"/>
              <w:widowControl w:val="0"/>
              <w:tabs>
                <w:tab w:val="decimal" w:pos="1247"/>
              </w:tabs>
              <w:jc w:val="left"/>
              <w:rPr>
                <w:b/>
              </w:rPr>
            </w:pPr>
            <w:r>
              <w:rPr>
                <w:b/>
              </w:rPr>
              <w:t>70 828</w:t>
            </w:r>
          </w:p>
        </w:tc>
      </w:tr>
    </w:tbl>
    <w:p w:rsidR="00FD06F3" w:rsidRDefault="00FD06F3">
      <w:pPr>
        <w:widowControl w:val="0"/>
      </w:pPr>
    </w:p>
    <w:p w:rsidR="00FD06F3" w:rsidRDefault="0054425B">
      <w:pPr>
        <w:widowControl w:val="0"/>
      </w:pPr>
      <w:r>
        <w:t>Ниже представлено изменение отложенных налоговых обязательств:</w:t>
      </w:r>
    </w:p>
    <w:p w:rsidR="00FD06F3" w:rsidRDefault="00FD06F3">
      <w:pPr>
        <w:widowControl w:val="0"/>
      </w:pPr>
    </w:p>
    <w:tbl>
      <w:tblPr>
        <w:tblW w:w="9639" w:type="dxa"/>
        <w:jc w:val="center"/>
        <w:tblLayout w:type="fixed"/>
        <w:tblLook w:val="0000" w:firstRow="0" w:lastRow="0" w:firstColumn="0" w:lastColumn="0" w:noHBand="0" w:noVBand="0"/>
      </w:tblPr>
      <w:tblGrid>
        <w:gridCol w:w="2552"/>
        <w:gridCol w:w="1417"/>
        <w:gridCol w:w="1417"/>
        <w:gridCol w:w="1418"/>
        <w:gridCol w:w="1417"/>
        <w:gridCol w:w="1418"/>
      </w:tblGrid>
      <w:tr w:rsidR="00FD06F3">
        <w:trPr>
          <w:trHeight w:val="23"/>
          <w:jc w:val="center"/>
        </w:trPr>
        <w:tc>
          <w:tcPr>
            <w:tcW w:w="2552" w:type="dxa"/>
            <w:tcBorders>
              <w:bottom w:val="single" w:sz="6" w:space="0" w:color="auto"/>
            </w:tcBorders>
            <w:vAlign w:val="bottom"/>
          </w:tcPr>
          <w:p w:rsidR="00FD06F3" w:rsidRDefault="0054425B">
            <w:pPr>
              <w:pStyle w:val="Tabletext"/>
              <w:widowControl w:val="0"/>
              <w:ind w:left="-108" w:right="-108"/>
              <w:jc w:val="left"/>
              <w:rPr>
                <w:b/>
                <w:bCs/>
              </w:rPr>
            </w:pPr>
            <w:r>
              <w:rPr>
                <w:b/>
                <w:bCs/>
              </w:rPr>
              <w:t>Налоговый эффект вычитаемых временных разниц – (актив)/ обязательство</w:t>
            </w:r>
          </w:p>
        </w:tc>
        <w:tc>
          <w:tcPr>
            <w:tcW w:w="1417" w:type="dxa"/>
            <w:tcBorders>
              <w:bottom w:val="single" w:sz="6" w:space="0" w:color="auto"/>
            </w:tcBorders>
            <w:vAlign w:val="bottom"/>
          </w:tcPr>
          <w:p w:rsidR="00FD06F3" w:rsidRDefault="0054425B">
            <w:pPr>
              <w:pStyle w:val="Tabletext"/>
              <w:widowControl w:val="0"/>
              <w:ind w:left="-108" w:right="-108"/>
              <w:jc w:val="center"/>
              <w:rPr>
                <w:b/>
                <w:bCs/>
              </w:rPr>
            </w:pPr>
            <w:r>
              <w:rPr>
                <w:b/>
                <w:bCs/>
              </w:rPr>
              <w:t>31 декабря 2015 г.</w:t>
            </w:r>
          </w:p>
        </w:tc>
        <w:tc>
          <w:tcPr>
            <w:tcW w:w="1417" w:type="dxa"/>
            <w:tcBorders>
              <w:bottom w:val="single" w:sz="6" w:space="0" w:color="auto"/>
            </w:tcBorders>
            <w:vAlign w:val="bottom"/>
          </w:tcPr>
          <w:p w:rsidR="00FD06F3" w:rsidRDefault="0054425B">
            <w:pPr>
              <w:pStyle w:val="Tabletext"/>
              <w:widowControl w:val="0"/>
              <w:ind w:left="-108" w:right="-108"/>
              <w:jc w:val="center"/>
              <w:rPr>
                <w:b/>
                <w:bCs/>
              </w:rPr>
            </w:pPr>
            <w:r>
              <w:rPr>
                <w:b/>
                <w:bCs/>
              </w:rPr>
              <w:t xml:space="preserve">Возникновение </w:t>
            </w:r>
            <w:r>
              <w:rPr>
                <w:b/>
                <w:bCs/>
              </w:rPr>
              <w:t>и сторнирование разниц</w:t>
            </w:r>
          </w:p>
        </w:tc>
        <w:tc>
          <w:tcPr>
            <w:tcW w:w="1418" w:type="dxa"/>
            <w:tcBorders>
              <w:bottom w:val="single" w:sz="6" w:space="0" w:color="auto"/>
            </w:tcBorders>
            <w:vAlign w:val="bottom"/>
          </w:tcPr>
          <w:p w:rsidR="00FD06F3" w:rsidRDefault="0054425B">
            <w:pPr>
              <w:pStyle w:val="Tabletext"/>
              <w:widowControl w:val="0"/>
              <w:ind w:left="-108" w:right="-108"/>
              <w:jc w:val="center"/>
              <w:rPr>
                <w:b/>
                <w:bCs/>
              </w:rPr>
            </w:pPr>
            <w:r>
              <w:rPr>
                <w:b/>
                <w:bCs/>
              </w:rPr>
              <w:t>31 декабря 2016 г.</w:t>
            </w:r>
          </w:p>
        </w:tc>
        <w:tc>
          <w:tcPr>
            <w:tcW w:w="1417" w:type="dxa"/>
            <w:tcBorders>
              <w:bottom w:val="single" w:sz="6" w:space="0" w:color="auto"/>
            </w:tcBorders>
            <w:vAlign w:val="bottom"/>
          </w:tcPr>
          <w:p w:rsidR="00FD06F3" w:rsidRDefault="0054425B">
            <w:pPr>
              <w:pStyle w:val="Tabletext"/>
              <w:widowControl w:val="0"/>
              <w:ind w:left="-108" w:right="-108"/>
              <w:jc w:val="center"/>
              <w:rPr>
                <w:b/>
                <w:bCs/>
              </w:rPr>
            </w:pPr>
            <w:r>
              <w:rPr>
                <w:b/>
                <w:bCs/>
              </w:rPr>
              <w:t>Возникновение и сторнирование разниц</w:t>
            </w:r>
          </w:p>
        </w:tc>
        <w:tc>
          <w:tcPr>
            <w:tcW w:w="1418" w:type="dxa"/>
            <w:tcBorders>
              <w:bottom w:val="single" w:sz="6" w:space="0" w:color="auto"/>
            </w:tcBorders>
            <w:vAlign w:val="bottom"/>
          </w:tcPr>
          <w:p w:rsidR="00FD06F3" w:rsidRDefault="0054425B">
            <w:pPr>
              <w:pStyle w:val="Tabletext"/>
              <w:widowControl w:val="0"/>
              <w:ind w:left="-108" w:right="-108"/>
              <w:jc w:val="center"/>
              <w:rPr>
                <w:b/>
                <w:bCs/>
              </w:rPr>
            </w:pPr>
            <w:r>
              <w:rPr>
                <w:b/>
                <w:bCs/>
              </w:rPr>
              <w:t>31 декабря 2017 г.</w:t>
            </w:r>
          </w:p>
        </w:tc>
      </w:tr>
      <w:tr w:rsidR="00FD06F3">
        <w:trPr>
          <w:trHeight w:val="340"/>
          <w:jc w:val="center"/>
        </w:trPr>
        <w:tc>
          <w:tcPr>
            <w:tcW w:w="2552" w:type="dxa"/>
            <w:vAlign w:val="bottom"/>
          </w:tcPr>
          <w:p w:rsidR="00FD06F3" w:rsidRDefault="0054425B">
            <w:pPr>
              <w:pStyle w:val="Tabletext"/>
              <w:widowControl w:val="0"/>
              <w:ind w:left="5" w:right="-108" w:hanging="113"/>
              <w:jc w:val="left"/>
            </w:pPr>
            <w:r>
              <w:t>Основные средства</w:t>
            </w:r>
          </w:p>
        </w:tc>
        <w:tc>
          <w:tcPr>
            <w:tcW w:w="1417" w:type="dxa"/>
            <w:vAlign w:val="bottom"/>
          </w:tcPr>
          <w:p w:rsidR="00FD06F3" w:rsidRDefault="0054425B">
            <w:pPr>
              <w:widowControl w:val="0"/>
              <w:tabs>
                <w:tab w:val="decimal" w:pos="1021"/>
              </w:tabs>
              <w:jc w:val="left"/>
              <w:rPr>
                <w:sz w:val="18"/>
                <w:szCs w:val="18"/>
              </w:rPr>
            </w:pPr>
            <w:r>
              <w:rPr>
                <w:sz w:val="18"/>
                <w:szCs w:val="18"/>
              </w:rPr>
              <w:t>327 530</w:t>
            </w:r>
          </w:p>
        </w:tc>
        <w:tc>
          <w:tcPr>
            <w:tcW w:w="1417" w:type="dxa"/>
            <w:vAlign w:val="bottom"/>
          </w:tcPr>
          <w:p w:rsidR="00FD06F3" w:rsidRDefault="0054425B">
            <w:pPr>
              <w:tabs>
                <w:tab w:val="decimal" w:pos="1021"/>
              </w:tabs>
              <w:jc w:val="left"/>
              <w:rPr>
                <w:sz w:val="18"/>
                <w:szCs w:val="18"/>
              </w:rPr>
            </w:pPr>
            <w:r>
              <w:rPr>
                <w:sz w:val="18"/>
                <w:szCs w:val="18"/>
              </w:rPr>
              <w:t>(24 004)</w:t>
            </w:r>
          </w:p>
        </w:tc>
        <w:tc>
          <w:tcPr>
            <w:tcW w:w="1418" w:type="dxa"/>
            <w:vAlign w:val="bottom"/>
          </w:tcPr>
          <w:p w:rsidR="00FD06F3" w:rsidRDefault="0054425B">
            <w:pPr>
              <w:tabs>
                <w:tab w:val="decimal" w:pos="1021"/>
              </w:tabs>
              <w:jc w:val="left"/>
              <w:rPr>
                <w:sz w:val="18"/>
                <w:szCs w:val="18"/>
              </w:rPr>
            </w:pPr>
            <w:r>
              <w:rPr>
                <w:sz w:val="18"/>
                <w:szCs w:val="18"/>
              </w:rPr>
              <w:t>303 526</w:t>
            </w:r>
          </w:p>
        </w:tc>
        <w:tc>
          <w:tcPr>
            <w:tcW w:w="1417" w:type="dxa"/>
            <w:vAlign w:val="bottom"/>
          </w:tcPr>
          <w:p w:rsidR="00FD06F3" w:rsidRDefault="0054425B">
            <w:pPr>
              <w:tabs>
                <w:tab w:val="decimal" w:pos="1021"/>
              </w:tabs>
              <w:jc w:val="left"/>
              <w:rPr>
                <w:sz w:val="18"/>
                <w:szCs w:val="18"/>
              </w:rPr>
            </w:pPr>
            <w:r>
              <w:rPr>
                <w:sz w:val="18"/>
                <w:szCs w:val="18"/>
              </w:rPr>
              <w:t>(40 726)</w:t>
            </w:r>
          </w:p>
        </w:tc>
        <w:tc>
          <w:tcPr>
            <w:tcW w:w="1418" w:type="dxa"/>
            <w:vAlign w:val="bottom"/>
          </w:tcPr>
          <w:p w:rsidR="00FD06F3" w:rsidRDefault="0054425B">
            <w:pPr>
              <w:tabs>
                <w:tab w:val="decimal" w:pos="1021"/>
              </w:tabs>
              <w:jc w:val="left"/>
              <w:rPr>
                <w:sz w:val="18"/>
                <w:szCs w:val="18"/>
              </w:rPr>
            </w:pPr>
            <w:r>
              <w:rPr>
                <w:sz w:val="18"/>
                <w:szCs w:val="18"/>
              </w:rPr>
              <w:t>262 800</w:t>
            </w:r>
          </w:p>
        </w:tc>
      </w:tr>
      <w:tr w:rsidR="00FD06F3">
        <w:trPr>
          <w:trHeight w:val="23"/>
          <w:jc w:val="center"/>
        </w:trPr>
        <w:tc>
          <w:tcPr>
            <w:tcW w:w="2552" w:type="dxa"/>
            <w:vAlign w:val="bottom"/>
          </w:tcPr>
          <w:p w:rsidR="00FD06F3" w:rsidRDefault="0054425B">
            <w:pPr>
              <w:pStyle w:val="Tabletext"/>
              <w:widowControl w:val="0"/>
              <w:ind w:left="5" w:right="-108" w:hanging="113"/>
              <w:jc w:val="left"/>
            </w:pPr>
            <w:r>
              <w:t>Запасы</w:t>
            </w:r>
          </w:p>
        </w:tc>
        <w:tc>
          <w:tcPr>
            <w:tcW w:w="1417" w:type="dxa"/>
            <w:vAlign w:val="bottom"/>
          </w:tcPr>
          <w:p w:rsidR="00FD06F3" w:rsidRDefault="0054425B">
            <w:pPr>
              <w:widowControl w:val="0"/>
              <w:tabs>
                <w:tab w:val="decimal" w:pos="1021"/>
              </w:tabs>
              <w:jc w:val="left"/>
              <w:rPr>
                <w:sz w:val="18"/>
                <w:szCs w:val="18"/>
              </w:rPr>
            </w:pPr>
            <w:r>
              <w:rPr>
                <w:sz w:val="18"/>
                <w:szCs w:val="18"/>
              </w:rPr>
              <w:t>(3 420)</w:t>
            </w:r>
          </w:p>
        </w:tc>
        <w:tc>
          <w:tcPr>
            <w:tcW w:w="1417" w:type="dxa"/>
            <w:vAlign w:val="bottom"/>
          </w:tcPr>
          <w:p w:rsidR="00FD06F3" w:rsidRDefault="0054425B">
            <w:pPr>
              <w:tabs>
                <w:tab w:val="decimal" w:pos="1021"/>
              </w:tabs>
              <w:jc w:val="left"/>
              <w:rPr>
                <w:sz w:val="18"/>
                <w:szCs w:val="18"/>
              </w:rPr>
            </w:pPr>
            <w:r>
              <w:rPr>
                <w:sz w:val="18"/>
                <w:szCs w:val="18"/>
              </w:rPr>
              <w:t>2 040</w:t>
            </w:r>
          </w:p>
        </w:tc>
        <w:tc>
          <w:tcPr>
            <w:tcW w:w="1418" w:type="dxa"/>
            <w:vAlign w:val="bottom"/>
          </w:tcPr>
          <w:p w:rsidR="00FD06F3" w:rsidRDefault="0054425B">
            <w:pPr>
              <w:tabs>
                <w:tab w:val="decimal" w:pos="1021"/>
              </w:tabs>
              <w:jc w:val="left"/>
              <w:rPr>
                <w:sz w:val="18"/>
                <w:szCs w:val="18"/>
              </w:rPr>
            </w:pPr>
            <w:r>
              <w:rPr>
                <w:sz w:val="18"/>
                <w:szCs w:val="18"/>
              </w:rPr>
              <w:t>(1 380)</w:t>
            </w:r>
          </w:p>
        </w:tc>
        <w:tc>
          <w:tcPr>
            <w:tcW w:w="1417" w:type="dxa"/>
            <w:vAlign w:val="bottom"/>
          </w:tcPr>
          <w:p w:rsidR="00FD06F3" w:rsidRDefault="0054425B">
            <w:pPr>
              <w:tabs>
                <w:tab w:val="decimal" w:pos="1021"/>
              </w:tabs>
              <w:jc w:val="left"/>
              <w:rPr>
                <w:sz w:val="18"/>
                <w:szCs w:val="18"/>
              </w:rPr>
            </w:pPr>
            <w:r>
              <w:rPr>
                <w:sz w:val="18"/>
                <w:szCs w:val="18"/>
              </w:rPr>
              <w:t>(222)</w:t>
            </w:r>
          </w:p>
        </w:tc>
        <w:tc>
          <w:tcPr>
            <w:tcW w:w="1418" w:type="dxa"/>
            <w:vAlign w:val="bottom"/>
          </w:tcPr>
          <w:p w:rsidR="00FD06F3" w:rsidRDefault="0054425B">
            <w:pPr>
              <w:tabs>
                <w:tab w:val="decimal" w:pos="1021"/>
              </w:tabs>
              <w:jc w:val="left"/>
              <w:rPr>
                <w:sz w:val="18"/>
                <w:szCs w:val="18"/>
              </w:rPr>
            </w:pPr>
            <w:r>
              <w:rPr>
                <w:sz w:val="18"/>
                <w:szCs w:val="18"/>
              </w:rPr>
              <w:t>(1 602)</w:t>
            </w:r>
          </w:p>
        </w:tc>
      </w:tr>
      <w:tr w:rsidR="00FD06F3">
        <w:trPr>
          <w:trHeight w:val="23"/>
          <w:jc w:val="center"/>
        </w:trPr>
        <w:tc>
          <w:tcPr>
            <w:tcW w:w="2552" w:type="dxa"/>
            <w:vAlign w:val="bottom"/>
          </w:tcPr>
          <w:p w:rsidR="00FD06F3" w:rsidRDefault="0054425B">
            <w:pPr>
              <w:pStyle w:val="Tabletext"/>
              <w:widowControl w:val="0"/>
              <w:ind w:left="5" w:right="-108" w:hanging="113"/>
              <w:jc w:val="left"/>
            </w:pPr>
            <w:r>
              <w:t>Займы выданные</w:t>
            </w:r>
          </w:p>
        </w:tc>
        <w:tc>
          <w:tcPr>
            <w:tcW w:w="1417" w:type="dxa"/>
            <w:vAlign w:val="bottom"/>
          </w:tcPr>
          <w:p w:rsidR="00FD06F3" w:rsidRDefault="0054425B">
            <w:pPr>
              <w:widowControl w:val="0"/>
              <w:tabs>
                <w:tab w:val="decimal" w:pos="1021"/>
              </w:tabs>
              <w:jc w:val="left"/>
              <w:rPr>
                <w:sz w:val="18"/>
                <w:szCs w:val="18"/>
              </w:rPr>
            </w:pPr>
            <w:r>
              <w:rPr>
                <w:sz w:val="18"/>
                <w:szCs w:val="18"/>
              </w:rPr>
              <w:t>(37 433)</w:t>
            </w:r>
          </w:p>
        </w:tc>
        <w:tc>
          <w:tcPr>
            <w:tcW w:w="1417" w:type="dxa"/>
            <w:vAlign w:val="bottom"/>
          </w:tcPr>
          <w:p w:rsidR="00FD06F3" w:rsidRDefault="0054425B">
            <w:pPr>
              <w:tabs>
                <w:tab w:val="decimal" w:pos="1021"/>
              </w:tabs>
              <w:jc w:val="left"/>
              <w:rPr>
                <w:sz w:val="18"/>
                <w:szCs w:val="18"/>
              </w:rPr>
            </w:pPr>
            <w:r>
              <w:rPr>
                <w:sz w:val="18"/>
                <w:szCs w:val="18"/>
              </w:rPr>
              <w:t>14 988</w:t>
            </w:r>
          </w:p>
        </w:tc>
        <w:tc>
          <w:tcPr>
            <w:tcW w:w="1418" w:type="dxa"/>
            <w:vAlign w:val="bottom"/>
          </w:tcPr>
          <w:p w:rsidR="00FD06F3" w:rsidRDefault="0054425B">
            <w:pPr>
              <w:tabs>
                <w:tab w:val="decimal" w:pos="1021"/>
              </w:tabs>
              <w:jc w:val="left"/>
              <w:rPr>
                <w:sz w:val="18"/>
                <w:szCs w:val="18"/>
              </w:rPr>
            </w:pPr>
            <w:r>
              <w:rPr>
                <w:sz w:val="18"/>
                <w:szCs w:val="18"/>
              </w:rPr>
              <w:t>(22 445)</w:t>
            </w:r>
          </w:p>
        </w:tc>
        <w:tc>
          <w:tcPr>
            <w:tcW w:w="1417" w:type="dxa"/>
            <w:vAlign w:val="bottom"/>
          </w:tcPr>
          <w:p w:rsidR="00FD06F3" w:rsidRDefault="0054425B">
            <w:pPr>
              <w:tabs>
                <w:tab w:val="decimal" w:pos="1021"/>
              </w:tabs>
              <w:jc w:val="left"/>
              <w:rPr>
                <w:sz w:val="18"/>
                <w:szCs w:val="18"/>
              </w:rPr>
            </w:pPr>
            <w:r>
              <w:rPr>
                <w:sz w:val="18"/>
                <w:szCs w:val="18"/>
              </w:rPr>
              <w:t>3 762</w:t>
            </w:r>
          </w:p>
        </w:tc>
        <w:tc>
          <w:tcPr>
            <w:tcW w:w="1418" w:type="dxa"/>
            <w:vAlign w:val="bottom"/>
          </w:tcPr>
          <w:p w:rsidR="00FD06F3" w:rsidRDefault="0054425B">
            <w:pPr>
              <w:tabs>
                <w:tab w:val="decimal" w:pos="1021"/>
              </w:tabs>
              <w:jc w:val="left"/>
              <w:rPr>
                <w:sz w:val="18"/>
                <w:szCs w:val="18"/>
              </w:rPr>
            </w:pPr>
            <w:r>
              <w:rPr>
                <w:sz w:val="18"/>
                <w:szCs w:val="18"/>
              </w:rPr>
              <w:t xml:space="preserve">(18 </w:t>
            </w:r>
            <w:r>
              <w:rPr>
                <w:sz w:val="18"/>
                <w:szCs w:val="18"/>
              </w:rPr>
              <w:t>683)</w:t>
            </w:r>
          </w:p>
        </w:tc>
      </w:tr>
      <w:tr w:rsidR="00FD06F3">
        <w:trPr>
          <w:trHeight w:val="23"/>
          <w:jc w:val="center"/>
        </w:trPr>
        <w:tc>
          <w:tcPr>
            <w:tcW w:w="2552" w:type="dxa"/>
            <w:vAlign w:val="bottom"/>
          </w:tcPr>
          <w:p w:rsidR="00FD06F3" w:rsidRDefault="0054425B">
            <w:pPr>
              <w:pStyle w:val="Tabletext"/>
              <w:widowControl w:val="0"/>
              <w:ind w:left="5" w:right="-108" w:hanging="113"/>
              <w:jc w:val="left"/>
            </w:pPr>
            <w:r>
              <w:t>Кредиторская задолженность</w:t>
            </w:r>
          </w:p>
        </w:tc>
        <w:tc>
          <w:tcPr>
            <w:tcW w:w="1417" w:type="dxa"/>
            <w:vAlign w:val="bottom"/>
          </w:tcPr>
          <w:p w:rsidR="00FD06F3" w:rsidRDefault="0054425B">
            <w:pPr>
              <w:widowControl w:val="0"/>
              <w:tabs>
                <w:tab w:val="decimal" w:pos="1021"/>
              </w:tabs>
              <w:jc w:val="left"/>
              <w:rPr>
                <w:sz w:val="18"/>
                <w:szCs w:val="18"/>
              </w:rPr>
            </w:pPr>
            <w:r>
              <w:rPr>
                <w:sz w:val="18"/>
                <w:szCs w:val="18"/>
              </w:rPr>
              <w:t>(19 018)</w:t>
            </w:r>
          </w:p>
        </w:tc>
        <w:tc>
          <w:tcPr>
            <w:tcW w:w="1417" w:type="dxa"/>
            <w:vAlign w:val="bottom"/>
          </w:tcPr>
          <w:p w:rsidR="00FD06F3" w:rsidRDefault="0054425B">
            <w:pPr>
              <w:tabs>
                <w:tab w:val="decimal" w:pos="1021"/>
              </w:tabs>
              <w:jc w:val="left"/>
              <w:rPr>
                <w:sz w:val="18"/>
                <w:szCs w:val="18"/>
              </w:rPr>
            </w:pPr>
            <w:r>
              <w:rPr>
                <w:sz w:val="18"/>
                <w:szCs w:val="18"/>
              </w:rPr>
              <w:t>(2 571)</w:t>
            </w:r>
          </w:p>
        </w:tc>
        <w:tc>
          <w:tcPr>
            <w:tcW w:w="1418" w:type="dxa"/>
            <w:vAlign w:val="bottom"/>
          </w:tcPr>
          <w:p w:rsidR="00FD06F3" w:rsidRDefault="0054425B">
            <w:pPr>
              <w:tabs>
                <w:tab w:val="decimal" w:pos="1021"/>
              </w:tabs>
              <w:jc w:val="left"/>
              <w:rPr>
                <w:sz w:val="18"/>
                <w:szCs w:val="18"/>
              </w:rPr>
            </w:pPr>
            <w:r>
              <w:rPr>
                <w:sz w:val="18"/>
                <w:szCs w:val="18"/>
              </w:rPr>
              <w:t>(21 589)</w:t>
            </w:r>
          </w:p>
        </w:tc>
        <w:tc>
          <w:tcPr>
            <w:tcW w:w="1417" w:type="dxa"/>
            <w:vAlign w:val="bottom"/>
          </w:tcPr>
          <w:p w:rsidR="00FD06F3" w:rsidRDefault="0054425B">
            <w:pPr>
              <w:tabs>
                <w:tab w:val="decimal" w:pos="1021"/>
              </w:tabs>
              <w:jc w:val="left"/>
              <w:rPr>
                <w:sz w:val="18"/>
                <w:szCs w:val="18"/>
              </w:rPr>
            </w:pPr>
            <w:r>
              <w:rPr>
                <w:sz w:val="18"/>
                <w:szCs w:val="18"/>
              </w:rPr>
              <w:t>(1 596)</w:t>
            </w:r>
          </w:p>
        </w:tc>
        <w:tc>
          <w:tcPr>
            <w:tcW w:w="1418" w:type="dxa"/>
            <w:vAlign w:val="bottom"/>
          </w:tcPr>
          <w:p w:rsidR="00FD06F3" w:rsidRDefault="0054425B">
            <w:pPr>
              <w:tabs>
                <w:tab w:val="decimal" w:pos="1021"/>
              </w:tabs>
              <w:jc w:val="left"/>
              <w:rPr>
                <w:sz w:val="18"/>
                <w:szCs w:val="18"/>
              </w:rPr>
            </w:pPr>
            <w:r>
              <w:rPr>
                <w:sz w:val="18"/>
                <w:szCs w:val="18"/>
              </w:rPr>
              <w:t>(23 185)</w:t>
            </w:r>
          </w:p>
        </w:tc>
      </w:tr>
      <w:tr w:rsidR="00FD06F3">
        <w:trPr>
          <w:trHeight w:val="23"/>
          <w:jc w:val="center"/>
        </w:trPr>
        <w:tc>
          <w:tcPr>
            <w:tcW w:w="2552" w:type="dxa"/>
            <w:vAlign w:val="bottom"/>
          </w:tcPr>
          <w:p w:rsidR="00FD06F3" w:rsidRDefault="0054425B">
            <w:pPr>
              <w:pStyle w:val="Tabletext"/>
              <w:widowControl w:val="0"/>
              <w:ind w:left="5" w:right="-108" w:hanging="113"/>
              <w:jc w:val="left"/>
            </w:pPr>
            <w:r>
              <w:t>Дебиторская задолженность</w:t>
            </w:r>
          </w:p>
        </w:tc>
        <w:tc>
          <w:tcPr>
            <w:tcW w:w="1417" w:type="dxa"/>
            <w:vAlign w:val="bottom"/>
          </w:tcPr>
          <w:p w:rsidR="00FD06F3" w:rsidRDefault="0054425B">
            <w:pPr>
              <w:widowControl w:val="0"/>
              <w:tabs>
                <w:tab w:val="decimal" w:pos="1021"/>
              </w:tabs>
              <w:jc w:val="left"/>
              <w:rPr>
                <w:sz w:val="18"/>
                <w:szCs w:val="18"/>
              </w:rPr>
            </w:pPr>
            <w:r>
              <w:rPr>
                <w:sz w:val="18"/>
                <w:szCs w:val="18"/>
              </w:rPr>
              <w:t>137 172</w:t>
            </w:r>
          </w:p>
        </w:tc>
        <w:tc>
          <w:tcPr>
            <w:tcW w:w="1417" w:type="dxa"/>
            <w:vAlign w:val="bottom"/>
          </w:tcPr>
          <w:p w:rsidR="00FD06F3" w:rsidRDefault="0054425B">
            <w:pPr>
              <w:tabs>
                <w:tab w:val="decimal" w:pos="1021"/>
              </w:tabs>
              <w:jc w:val="left"/>
              <w:rPr>
                <w:sz w:val="18"/>
                <w:szCs w:val="18"/>
              </w:rPr>
            </w:pPr>
            <w:r>
              <w:rPr>
                <w:sz w:val="18"/>
                <w:szCs w:val="18"/>
              </w:rPr>
              <w:t>14 458</w:t>
            </w:r>
          </w:p>
        </w:tc>
        <w:tc>
          <w:tcPr>
            <w:tcW w:w="1418" w:type="dxa"/>
            <w:vAlign w:val="bottom"/>
          </w:tcPr>
          <w:p w:rsidR="00FD06F3" w:rsidRDefault="0054425B">
            <w:pPr>
              <w:tabs>
                <w:tab w:val="decimal" w:pos="1021"/>
              </w:tabs>
              <w:jc w:val="left"/>
              <w:rPr>
                <w:sz w:val="18"/>
                <w:szCs w:val="18"/>
              </w:rPr>
            </w:pPr>
            <w:r>
              <w:rPr>
                <w:sz w:val="18"/>
                <w:szCs w:val="18"/>
              </w:rPr>
              <w:t>151 630</w:t>
            </w:r>
          </w:p>
        </w:tc>
        <w:tc>
          <w:tcPr>
            <w:tcW w:w="1417" w:type="dxa"/>
            <w:vAlign w:val="bottom"/>
          </w:tcPr>
          <w:p w:rsidR="00FD06F3" w:rsidRDefault="0054425B">
            <w:pPr>
              <w:tabs>
                <w:tab w:val="decimal" w:pos="1021"/>
              </w:tabs>
              <w:jc w:val="left"/>
              <w:rPr>
                <w:sz w:val="18"/>
                <w:szCs w:val="18"/>
              </w:rPr>
            </w:pPr>
            <w:r>
              <w:rPr>
                <w:sz w:val="18"/>
                <w:szCs w:val="18"/>
              </w:rPr>
              <w:t>7 039</w:t>
            </w:r>
          </w:p>
        </w:tc>
        <w:tc>
          <w:tcPr>
            <w:tcW w:w="1418" w:type="dxa"/>
            <w:vAlign w:val="bottom"/>
          </w:tcPr>
          <w:p w:rsidR="00FD06F3" w:rsidRDefault="0054425B">
            <w:pPr>
              <w:tabs>
                <w:tab w:val="decimal" w:pos="1021"/>
              </w:tabs>
              <w:jc w:val="left"/>
              <w:rPr>
                <w:sz w:val="18"/>
                <w:szCs w:val="18"/>
              </w:rPr>
            </w:pPr>
            <w:r>
              <w:rPr>
                <w:sz w:val="18"/>
                <w:szCs w:val="18"/>
              </w:rPr>
              <w:t>158 669</w:t>
            </w:r>
          </w:p>
        </w:tc>
      </w:tr>
      <w:tr w:rsidR="00FD06F3">
        <w:trPr>
          <w:trHeight w:val="23"/>
          <w:jc w:val="center"/>
        </w:trPr>
        <w:tc>
          <w:tcPr>
            <w:tcW w:w="2552" w:type="dxa"/>
            <w:vAlign w:val="bottom"/>
          </w:tcPr>
          <w:p w:rsidR="00FD06F3" w:rsidRDefault="0054425B">
            <w:pPr>
              <w:pStyle w:val="Tabletext"/>
              <w:widowControl w:val="0"/>
              <w:ind w:left="5" w:right="-108" w:hanging="113"/>
              <w:jc w:val="left"/>
            </w:pPr>
            <w:r>
              <w:t>Прочее</w:t>
            </w:r>
          </w:p>
        </w:tc>
        <w:tc>
          <w:tcPr>
            <w:tcW w:w="1417" w:type="dxa"/>
            <w:tcBorders>
              <w:bottom w:val="single" w:sz="6" w:space="0" w:color="auto"/>
            </w:tcBorders>
            <w:vAlign w:val="bottom"/>
          </w:tcPr>
          <w:p w:rsidR="00FD06F3" w:rsidRDefault="0054425B">
            <w:pPr>
              <w:widowControl w:val="0"/>
              <w:tabs>
                <w:tab w:val="decimal" w:pos="1021"/>
              </w:tabs>
              <w:jc w:val="left"/>
              <w:rPr>
                <w:sz w:val="18"/>
                <w:szCs w:val="18"/>
              </w:rPr>
            </w:pPr>
            <w:r>
              <w:rPr>
                <w:sz w:val="18"/>
                <w:szCs w:val="18"/>
              </w:rPr>
              <w:t>(3 313)</w:t>
            </w:r>
          </w:p>
        </w:tc>
        <w:tc>
          <w:tcPr>
            <w:tcW w:w="1417" w:type="dxa"/>
            <w:tcBorders>
              <w:bottom w:val="single" w:sz="6" w:space="0" w:color="auto"/>
            </w:tcBorders>
            <w:vAlign w:val="bottom"/>
          </w:tcPr>
          <w:p w:rsidR="00FD06F3" w:rsidRDefault="0054425B">
            <w:pPr>
              <w:tabs>
                <w:tab w:val="decimal" w:pos="1021"/>
              </w:tabs>
              <w:jc w:val="left"/>
              <w:rPr>
                <w:sz w:val="18"/>
                <w:szCs w:val="18"/>
              </w:rPr>
            </w:pPr>
            <w:r>
              <w:rPr>
                <w:sz w:val="18"/>
                <w:szCs w:val="18"/>
              </w:rPr>
              <w:t>(1)</w:t>
            </w:r>
          </w:p>
        </w:tc>
        <w:tc>
          <w:tcPr>
            <w:tcW w:w="1418" w:type="dxa"/>
            <w:tcBorders>
              <w:bottom w:val="single" w:sz="6" w:space="0" w:color="auto"/>
            </w:tcBorders>
            <w:vAlign w:val="bottom"/>
          </w:tcPr>
          <w:p w:rsidR="00FD06F3" w:rsidRDefault="0054425B">
            <w:pPr>
              <w:tabs>
                <w:tab w:val="decimal" w:pos="1021"/>
              </w:tabs>
              <w:jc w:val="left"/>
              <w:rPr>
                <w:sz w:val="18"/>
                <w:szCs w:val="18"/>
              </w:rPr>
            </w:pPr>
            <w:r>
              <w:rPr>
                <w:sz w:val="18"/>
                <w:szCs w:val="18"/>
              </w:rPr>
              <w:t>(3 314)</w:t>
            </w:r>
          </w:p>
        </w:tc>
        <w:tc>
          <w:tcPr>
            <w:tcW w:w="1417" w:type="dxa"/>
            <w:tcBorders>
              <w:bottom w:val="single" w:sz="6" w:space="0" w:color="auto"/>
            </w:tcBorders>
            <w:vAlign w:val="bottom"/>
          </w:tcPr>
          <w:p w:rsidR="00FD06F3" w:rsidRDefault="0054425B">
            <w:pPr>
              <w:tabs>
                <w:tab w:val="decimal" w:pos="1021"/>
              </w:tabs>
              <w:jc w:val="left"/>
              <w:rPr>
                <w:sz w:val="18"/>
                <w:szCs w:val="18"/>
              </w:rPr>
            </w:pPr>
            <w:r>
              <w:rPr>
                <w:sz w:val="18"/>
                <w:szCs w:val="18"/>
              </w:rPr>
              <w:t>850</w:t>
            </w:r>
          </w:p>
        </w:tc>
        <w:tc>
          <w:tcPr>
            <w:tcW w:w="1418" w:type="dxa"/>
            <w:tcBorders>
              <w:bottom w:val="single" w:sz="6" w:space="0" w:color="auto"/>
            </w:tcBorders>
            <w:vAlign w:val="bottom"/>
          </w:tcPr>
          <w:p w:rsidR="00FD06F3" w:rsidRDefault="0054425B">
            <w:pPr>
              <w:tabs>
                <w:tab w:val="decimal" w:pos="1021"/>
              </w:tabs>
              <w:jc w:val="left"/>
              <w:rPr>
                <w:sz w:val="18"/>
                <w:szCs w:val="18"/>
              </w:rPr>
            </w:pPr>
            <w:r>
              <w:rPr>
                <w:sz w:val="18"/>
                <w:szCs w:val="18"/>
              </w:rPr>
              <w:t>(2 464)</w:t>
            </w:r>
          </w:p>
        </w:tc>
      </w:tr>
      <w:tr w:rsidR="00FD06F3">
        <w:trPr>
          <w:trHeight w:val="340"/>
          <w:jc w:val="center"/>
        </w:trPr>
        <w:tc>
          <w:tcPr>
            <w:tcW w:w="2552" w:type="dxa"/>
            <w:tcBorders>
              <w:bottom w:val="nil"/>
            </w:tcBorders>
            <w:vAlign w:val="bottom"/>
          </w:tcPr>
          <w:p w:rsidR="00FD06F3" w:rsidRDefault="00FD06F3">
            <w:pPr>
              <w:pStyle w:val="Tabletext"/>
              <w:widowControl w:val="0"/>
              <w:ind w:left="5" w:right="-108" w:hanging="113"/>
              <w:jc w:val="left"/>
            </w:pPr>
          </w:p>
        </w:tc>
        <w:tc>
          <w:tcPr>
            <w:tcW w:w="1417" w:type="dxa"/>
            <w:tcBorders>
              <w:top w:val="single" w:sz="6" w:space="0" w:color="auto"/>
              <w:bottom w:val="single" w:sz="12" w:space="0" w:color="auto"/>
            </w:tcBorders>
            <w:vAlign w:val="bottom"/>
          </w:tcPr>
          <w:p w:rsidR="00FD06F3" w:rsidRDefault="0054425B">
            <w:pPr>
              <w:widowControl w:val="0"/>
              <w:tabs>
                <w:tab w:val="decimal" w:pos="1021"/>
              </w:tabs>
              <w:jc w:val="left"/>
              <w:rPr>
                <w:b/>
                <w:sz w:val="18"/>
                <w:szCs w:val="18"/>
              </w:rPr>
            </w:pPr>
            <w:r>
              <w:rPr>
                <w:b/>
                <w:sz w:val="18"/>
                <w:szCs w:val="18"/>
              </w:rPr>
              <w:t>401 518</w:t>
            </w:r>
          </w:p>
        </w:tc>
        <w:tc>
          <w:tcPr>
            <w:tcW w:w="1417" w:type="dxa"/>
            <w:tcBorders>
              <w:top w:val="single" w:sz="6" w:space="0" w:color="auto"/>
              <w:bottom w:val="single" w:sz="12" w:space="0" w:color="auto"/>
            </w:tcBorders>
            <w:vAlign w:val="bottom"/>
          </w:tcPr>
          <w:p w:rsidR="00FD06F3" w:rsidRDefault="0054425B">
            <w:pPr>
              <w:tabs>
                <w:tab w:val="decimal" w:pos="1021"/>
              </w:tabs>
              <w:jc w:val="left"/>
              <w:rPr>
                <w:b/>
                <w:sz w:val="18"/>
                <w:szCs w:val="18"/>
              </w:rPr>
            </w:pPr>
            <w:r>
              <w:rPr>
                <w:b/>
                <w:sz w:val="18"/>
                <w:szCs w:val="18"/>
              </w:rPr>
              <w:t>4 910</w:t>
            </w:r>
          </w:p>
        </w:tc>
        <w:tc>
          <w:tcPr>
            <w:tcW w:w="1418" w:type="dxa"/>
            <w:tcBorders>
              <w:top w:val="single" w:sz="6" w:space="0" w:color="auto"/>
              <w:bottom w:val="single" w:sz="12" w:space="0" w:color="auto"/>
            </w:tcBorders>
            <w:vAlign w:val="bottom"/>
          </w:tcPr>
          <w:p w:rsidR="00FD06F3" w:rsidRDefault="0054425B">
            <w:pPr>
              <w:tabs>
                <w:tab w:val="decimal" w:pos="1021"/>
              </w:tabs>
              <w:jc w:val="left"/>
              <w:rPr>
                <w:b/>
                <w:sz w:val="18"/>
                <w:szCs w:val="18"/>
              </w:rPr>
            </w:pPr>
            <w:r>
              <w:rPr>
                <w:b/>
                <w:sz w:val="18"/>
                <w:szCs w:val="18"/>
              </w:rPr>
              <w:t>406 428</w:t>
            </w:r>
          </w:p>
        </w:tc>
        <w:tc>
          <w:tcPr>
            <w:tcW w:w="1417" w:type="dxa"/>
            <w:tcBorders>
              <w:top w:val="single" w:sz="6" w:space="0" w:color="auto"/>
              <w:bottom w:val="single" w:sz="12" w:space="0" w:color="auto"/>
            </w:tcBorders>
            <w:vAlign w:val="bottom"/>
          </w:tcPr>
          <w:p w:rsidR="00FD06F3" w:rsidRDefault="0054425B">
            <w:pPr>
              <w:tabs>
                <w:tab w:val="decimal" w:pos="1021"/>
              </w:tabs>
              <w:jc w:val="left"/>
              <w:rPr>
                <w:b/>
                <w:sz w:val="18"/>
                <w:szCs w:val="18"/>
              </w:rPr>
            </w:pPr>
            <w:r>
              <w:rPr>
                <w:b/>
                <w:sz w:val="18"/>
                <w:szCs w:val="18"/>
              </w:rPr>
              <w:t>(30 893)</w:t>
            </w:r>
          </w:p>
        </w:tc>
        <w:tc>
          <w:tcPr>
            <w:tcW w:w="1418" w:type="dxa"/>
            <w:tcBorders>
              <w:top w:val="single" w:sz="6" w:space="0" w:color="auto"/>
              <w:bottom w:val="single" w:sz="12" w:space="0" w:color="auto"/>
            </w:tcBorders>
            <w:vAlign w:val="bottom"/>
          </w:tcPr>
          <w:p w:rsidR="00FD06F3" w:rsidRDefault="0054425B">
            <w:pPr>
              <w:tabs>
                <w:tab w:val="decimal" w:pos="1021"/>
              </w:tabs>
              <w:jc w:val="left"/>
              <w:rPr>
                <w:b/>
                <w:sz w:val="18"/>
                <w:szCs w:val="18"/>
              </w:rPr>
            </w:pPr>
            <w:r>
              <w:rPr>
                <w:b/>
                <w:sz w:val="18"/>
                <w:szCs w:val="18"/>
              </w:rPr>
              <w:t>375 535</w:t>
            </w:r>
          </w:p>
        </w:tc>
      </w:tr>
    </w:tbl>
    <w:p w:rsidR="00FD06F3" w:rsidRDefault="00FD06F3">
      <w:pPr>
        <w:widowControl w:val="0"/>
      </w:pPr>
    </w:p>
    <w:p w:rsidR="00FD06F3" w:rsidRDefault="0054425B">
      <w:pPr>
        <w:widowControl w:val="0"/>
      </w:pPr>
      <w:r>
        <w:t xml:space="preserve">Возникновение и уменьшение </w:t>
      </w:r>
      <w:r>
        <w:t>временных разниц преимущественно связано со следующими факторами:</w:t>
      </w:r>
    </w:p>
    <w:p w:rsidR="00FD06F3" w:rsidRDefault="0054425B">
      <w:pPr>
        <w:pStyle w:val="a"/>
      </w:pPr>
      <w:r>
        <w:t>начислением амортизации основных средств в размере, превышающем износ, начисленный для целей налогообложения;</w:t>
      </w:r>
    </w:p>
    <w:p w:rsidR="00FD06F3" w:rsidRDefault="0054425B">
      <w:pPr>
        <w:pStyle w:val="a"/>
      </w:pPr>
      <w:r>
        <w:t>превышением стоимости готовой продукции над стоимостью для целей налогообложения</w:t>
      </w:r>
      <w:r>
        <w:t>;</w:t>
      </w:r>
    </w:p>
    <w:p w:rsidR="00FD06F3" w:rsidRDefault="0054425B">
      <w:pPr>
        <w:pStyle w:val="a"/>
      </w:pPr>
      <w:r>
        <w:t>корректировками справедливой стоимости займов выданных;</w:t>
      </w:r>
    </w:p>
    <w:p w:rsidR="00FD06F3" w:rsidRDefault="0054425B">
      <w:pPr>
        <w:pStyle w:val="a"/>
      </w:pPr>
      <w:r>
        <w:t>начислениями и резервами, не признаваемыми для целей налогообложения;</w:t>
      </w:r>
    </w:p>
    <w:p w:rsidR="00FD06F3" w:rsidRDefault="0054425B">
      <w:pPr>
        <w:pStyle w:val="a"/>
      </w:pPr>
      <w:r>
        <w:t>обесценением торговой дебиторской задолженности;</w:t>
      </w:r>
    </w:p>
    <w:p w:rsidR="00FD06F3" w:rsidRDefault="0054425B">
      <w:pPr>
        <w:pStyle w:val="a"/>
        <w:rPr>
          <w:b/>
          <w:bCs/>
          <w:caps/>
        </w:rPr>
      </w:pPr>
      <w:r>
        <w:t>начислением процентов в рамках финансирования проекта «Золотой остров».</w:t>
      </w:r>
      <w:bookmarkStart w:id="113" w:name="_Toc354762890"/>
      <w:bookmarkStart w:id="114" w:name="_Toc356225095"/>
    </w:p>
    <w:p w:rsidR="00FD06F3" w:rsidRDefault="00FD06F3">
      <w:pPr>
        <w:pStyle w:val="RedOct"/>
        <w:widowControl w:val="0"/>
        <w:ind w:left="0" w:firstLine="0"/>
      </w:pPr>
      <w:bookmarkStart w:id="115" w:name="_Toc387743861"/>
      <w:bookmarkStart w:id="116" w:name="_Toc387743938"/>
    </w:p>
    <w:p w:rsidR="00FD06F3" w:rsidRDefault="0054425B">
      <w:pPr>
        <w:pStyle w:val="12"/>
      </w:pPr>
      <w:r>
        <w:br w:type="page"/>
      </w:r>
      <w:bookmarkStart w:id="117" w:name="_Toc512452526"/>
      <w:r>
        <w:lastRenderedPageBreak/>
        <w:t>13.</w:t>
      </w:r>
      <w:r>
        <w:tab/>
        <w:t>Т</w:t>
      </w:r>
      <w:r>
        <w:t>орговая и прочая кредиторская задолженность</w:t>
      </w:r>
      <w:bookmarkEnd w:id="113"/>
      <w:bookmarkEnd w:id="114"/>
      <w:bookmarkEnd w:id="115"/>
      <w:bookmarkEnd w:id="116"/>
      <w:bookmarkEnd w:id="117"/>
    </w:p>
    <w:p w:rsidR="00FD06F3" w:rsidRDefault="00FD06F3">
      <w:pPr>
        <w:widowControl w:val="0"/>
      </w:pPr>
    </w:p>
    <w:p w:rsidR="00FD06F3" w:rsidRDefault="0054425B">
      <w:pPr>
        <w:widowControl w:val="0"/>
      </w:pPr>
      <w:r>
        <w:t>Торговая и прочая кредиторская задолженность Группы на 31 декабря 2017 и 2016 гг. включала в себя следующие позиции:</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pStyle w:val="Tabletext"/>
              <w:widowControl w:val="0"/>
              <w:ind w:left="5" w:right="-108" w:hanging="113"/>
              <w:jc w:val="left"/>
              <w:rPr>
                <w:b/>
                <w:bCs/>
              </w:rPr>
            </w:pPr>
          </w:p>
        </w:tc>
        <w:tc>
          <w:tcPr>
            <w:tcW w:w="1701" w:type="dxa"/>
            <w:tcBorders>
              <w:bottom w:val="single" w:sz="6" w:space="0" w:color="auto"/>
            </w:tcBorders>
            <w:vAlign w:val="bottom"/>
          </w:tcPr>
          <w:p w:rsidR="00FD06F3" w:rsidRDefault="0054425B">
            <w:pPr>
              <w:pStyle w:val="Tabletext"/>
              <w:widowControl w:val="0"/>
              <w:ind w:left="-108" w:right="-108"/>
              <w:jc w:val="center"/>
              <w:rPr>
                <w:b/>
                <w:bCs/>
              </w:rPr>
            </w:pPr>
            <w:r>
              <w:rPr>
                <w:b/>
                <w:bCs/>
              </w:rPr>
              <w:t>2017 г.</w:t>
            </w:r>
          </w:p>
        </w:tc>
        <w:tc>
          <w:tcPr>
            <w:tcW w:w="1701" w:type="dxa"/>
            <w:tcBorders>
              <w:bottom w:val="single" w:sz="6" w:space="0" w:color="auto"/>
            </w:tcBorders>
            <w:vAlign w:val="bottom"/>
          </w:tcPr>
          <w:p w:rsidR="00FD06F3" w:rsidRDefault="0054425B">
            <w:pPr>
              <w:pStyle w:val="Tabletext"/>
              <w:widowControl w:val="0"/>
              <w:ind w:left="-108" w:right="-108"/>
              <w:jc w:val="center"/>
              <w:rPr>
                <w:b/>
                <w:bCs/>
              </w:rPr>
            </w:pPr>
            <w:r>
              <w:rPr>
                <w:b/>
                <w:bCs/>
              </w:rPr>
              <w:t>2016 г.</w:t>
            </w:r>
          </w:p>
        </w:tc>
      </w:tr>
      <w:tr w:rsidR="00FD06F3">
        <w:trPr>
          <w:trHeight w:val="340"/>
          <w:jc w:val="center"/>
        </w:trPr>
        <w:tc>
          <w:tcPr>
            <w:tcW w:w="6236" w:type="dxa"/>
            <w:vAlign w:val="bottom"/>
          </w:tcPr>
          <w:p w:rsidR="00FD06F3" w:rsidRDefault="0054425B">
            <w:pPr>
              <w:pStyle w:val="Tabletext"/>
              <w:widowControl w:val="0"/>
              <w:ind w:left="5" w:right="-108" w:hanging="113"/>
              <w:jc w:val="left"/>
            </w:pPr>
            <w:r>
              <w:t>Торговая кредиторская задолженность</w:t>
            </w:r>
          </w:p>
        </w:tc>
        <w:tc>
          <w:tcPr>
            <w:tcW w:w="1701" w:type="dxa"/>
            <w:tcBorders>
              <w:top w:val="single" w:sz="6" w:space="0" w:color="auto"/>
            </w:tcBorders>
            <w:vAlign w:val="bottom"/>
          </w:tcPr>
          <w:p w:rsidR="00FD06F3" w:rsidRDefault="0054425B">
            <w:pPr>
              <w:widowControl w:val="0"/>
              <w:tabs>
                <w:tab w:val="decimal" w:pos="1247"/>
              </w:tabs>
              <w:jc w:val="left"/>
              <w:rPr>
                <w:sz w:val="18"/>
                <w:szCs w:val="18"/>
              </w:rPr>
            </w:pPr>
            <w:r>
              <w:rPr>
                <w:sz w:val="18"/>
                <w:szCs w:val="18"/>
              </w:rPr>
              <w:t>1 103 028</w:t>
            </w:r>
          </w:p>
        </w:tc>
        <w:tc>
          <w:tcPr>
            <w:tcW w:w="1701" w:type="dxa"/>
            <w:tcBorders>
              <w:top w:val="single" w:sz="6" w:space="0" w:color="auto"/>
            </w:tcBorders>
            <w:vAlign w:val="bottom"/>
          </w:tcPr>
          <w:p w:rsidR="00FD06F3" w:rsidRDefault="0054425B">
            <w:pPr>
              <w:widowControl w:val="0"/>
              <w:tabs>
                <w:tab w:val="decimal" w:pos="1247"/>
              </w:tabs>
              <w:jc w:val="left"/>
              <w:rPr>
                <w:sz w:val="18"/>
                <w:szCs w:val="18"/>
              </w:rPr>
            </w:pPr>
            <w:r>
              <w:rPr>
                <w:sz w:val="18"/>
                <w:szCs w:val="18"/>
              </w:rPr>
              <w:t>1 211 828</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 xml:space="preserve">Торговая </w:t>
            </w:r>
            <w:r>
              <w:t>кредиторская задолженность – связанные стороны</w:t>
            </w:r>
          </w:p>
        </w:tc>
        <w:tc>
          <w:tcPr>
            <w:tcW w:w="1701" w:type="dxa"/>
            <w:vAlign w:val="bottom"/>
          </w:tcPr>
          <w:p w:rsidR="00FD06F3" w:rsidRDefault="0054425B">
            <w:pPr>
              <w:widowControl w:val="0"/>
              <w:tabs>
                <w:tab w:val="decimal" w:pos="1247"/>
              </w:tabs>
              <w:jc w:val="left"/>
              <w:rPr>
                <w:sz w:val="18"/>
                <w:szCs w:val="18"/>
              </w:rPr>
            </w:pPr>
            <w:r>
              <w:rPr>
                <w:sz w:val="18"/>
                <w:szCs w:val="18"/>
              </w:rPr>
              <w:t>1 219 726</w:t>
            </w:r>
          </w:p>
        </w:tc>
        <w:tc>
          <w:tcPr>
            <w:tcW w:w="1701" w:type="dxa"/>
            <w:vAlign w:val="bottom"/>
          </w:tcPr>
          <w:p w:rsidR="00FD06F3" w:rsidRDefault="0054425B">
            <w:pPr>
              <w:widowControl w:val="0"/>
              <w:tabs>
                <w:tab w:val="decimal" w:pos="1247"/>
              </w:tabs>
              <w:jc w:val="left"/>
              <w:rPr>
                <w:sz w:val="18"/>
                <w:szCs w:val="18"/>
              </w:rPr>
            </w:pPr>
            <w:r>
              <w:rPr>
                <w:sz w:val="18"/>
                <w:szCs w:val="18"/>
              </w:rPr>
              <w:t>1 862 536</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Авансы полученные</w:t>
            </w:r>
          </w:p>
        </w:tc>
        <w:tc>
          <w:tcPr>
            <w:tcW w:w="1701" w:type="dxa"/>
            <w:vAlign w:val="bottom"/>
          </w:tcPr>
          <w:p w:rsidR="00FD06F3" w:rsidRDefault="0054425B">
            <w:pPr>
              <w:widowControl w:val="0"/>
              <w:tabs>
                <w:tab w:val="decimal" w:pos="1247"/>
              </w:tabs>
              <w:jc w:val="left"/>
              <w:rPr>
                <w:sz w:val="18"/>
                <w:szCs w:val="18"/>
              </w:rPr>
            </w:pPr>
            <w:r>
              <w:rPr>
                <w:sz w:val="18"/>
                <w:szCs w:val="18"/>
              </w:rPr>
              <w:t>6 035</w:t>
            </w:r>
          </w:p>
        </w:tc>
        <w:tc>
          <w:tcPr>
            <w:tcW w:w="1701" w:type="dxa"/>
            <w:vAlign w:val="bottom"/>
          </w:tcPr>
          <w:p w:rsidR="00FD06F3" w:rsidRDefault="0054425B">
            <w:pPr>
              <w:widowControl w:val="0"/>
              <w:tabs>
                <w:tab w:val="decimal" w:pos="1247"/>
              </w:tabs>
              <w:jc w:val="left"/>
              <w:rPr>
                <w:sz w:val="18"/>
                <w:szCs w:val="18"/>
              </w:rPr>
            </w:pPr>
            <w:r>
              <w:rPr>
                <w:sz w:val="18"/>
                <w:szCs w:val="18"/>
              </w:rPr>
              <w:t>88 364</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Расчеты с персоналом</w:t>
            </w:r>
          </w:p>
        </w:tc>
        <w:tc>
          <w:tcPr>
            <w:tcW w:w="1701" w:type="dxa"/>
            <w:vAlign w:val="bottom"/>
          </w:tcPr>
          <w:p w:rsidR="00FD06F3" w:rsidRDefault="0054425B">
            <w:pPr>
              <w:widowControl w:val="0"/>
              <w:tabs>
                <w:tab w:val="decimal" w:pos="1247"/>
              </w:tabs>
              <w:jc w:val="left"/>
              <w:rPr>
                <w:sz w:val="18"/>
                <w:szCs w:val="18"/>
              </w:rPr>
            </w:pPr>
            <w:r>
              <w:rPr>
                <w:sz w:val="18"/>
                <w:szCs w:val="18"/>
              </w:rPr>
              <w:t>80 649</w:t>
            </w:r>
          </w:p>
        </w:tc>
        <w:tc>
          <w:tcPr>
            <w:tcW w:w="1701" w:type="dxa"/>
            <w:vAlign w:val="bottom"/>
          </w:tcPr>
          <w:p w:rsidR="00FD06F3" w:rsidRDefault="0054425B">
            <w:pPr>
              <w:widowControl w:val="0"/>
              <w:tabs>
                <w:tab w:val="decimal" w:pos="1247"/>
              </w:tabs>
              <w:jc w:val="left"/>
              <w:rPr>
                <w:sz w:val="18"/>
                <w:szCs w:val="18"/>
              </w:rPr>
            </w:pPr>
            <w:r>
              <w:rPr>
                <w:sz w:val="18"/>
                <w:szCs w:val="18"/>
              </w:rPr>
              <w:t>64 430</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Кредиторская задолженность по инвестиционной деятельности</w:t>
            </w:r>
          </w:p>
        </w:tc>
        <w:tc>
          <w:tcPr>
            <w:tcW w:w="1701" w:type="dxa"/>
            <w:vAlign w:val="bottom"/>
          </w:tcPr>
          <w:p w:rsidR="00FD06F3" w:rsidRDefault="0054425B">
            <w:pPr>
              <w:widowControl w:val="0"/>
              <w:tabs>
                <w:tab w:val="decimal" w:pos="1247"/>
              </w:tabs>
              <w:jc w:val="left"/>
              <w:rPr>
                <w:sz w:val="18"/>
                <w:szCs w:val="18"/>
              </w:rPr>
            </w:pPr>
            <w:r>
              <w:rPr>
                <w:sz w:val="18"/>
                <w:szCs w:val="18"/>
              </w:rPr>
              <w:t>6 034</w:t>
            </w:r>
          </w:p>
        </w:tc>
        <w:tc>
          <w:tcPr>
            <w:tcW w:w="1701" w:type="dxa"/>
            <w:vAlign w:val="bottom"/>
          </w:tcPr>
          <w:p w:rsidR="00FD06F3" w:rsidRDefault="0054425B">
            <w:pPr>
              <w:widowControl w:val="0"/>
              <w:tabs>
                <w:tab w:val="decimal" w:pos="1247"/>
              </w:tabs>
              <w:jc w:val="left"/>
              <w:rPr>
                <w:sz w:val="18"/>
                <w:szCs w:val="18"/>
              </w:rPr>
            </w:pPr>
            <w:r>
              <w:rPr>
                <w:sz w:val="18"/>
                <w:szCs w:val="18"/>
              </w:rPr>
              <w:t>11 571</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Прочая кредиторская задолженность</w:t>
            </w:r>
          </w:p>
        </w:tc>
        <w:tc>
          <w:tcPr>
            <w:tcW w:w="1701" w:type="dxa"/>
            <w:tcBorders>
              <w:bottom w:val="single" w:sz="6" w:space="0" w:color="auto"/>
            </w:tcBorders>
            <w:vAlign w:val="bottom"/>
          </w:tcPr>
          <w:p w:rsidR="00FD06F3" w:rsidRDefault="0054425B">
            <w:pPr>
              <w:widowControl w:val="0"/>
              <w:tabs>
                <w:tab w:val="decimal" w:pos="1247"/>
              </w:tabs>
              <w:jc w:val="left"/>
              <w:rPr>
                <w:sz w:val="18"/>
                <w:szCs w:val="18"/>
              </w:rPr>
            </w:pPr>
            <w:r>
              <w:rPr>
                <w:sz w:val="18"/>
                <w:szCs w:val="18"/>
              </w:rPr>
              <w:t>176 097</w:t>
            </w:r>
          </w:p>
        </w:tc>
        <w:tc>
          <w:tcPr>
            <w:tcW w:w="1701" w:type="dxa"/>
            <w:tcBorders>
              <w:bottom w:val="single" w:sz="6" w:space="0" w:color="auto"/>
            </w:tcBorders>
            <w:vAlign w:val="bottom"/>
          </w:tcPr>
          <w:p w:rsidR="00FD06F3" w:rsidRDefault="0054425B">
            <w:pPr>
              <w:widowControl w:val="0"/>
              <w:tabs>
                <w:tab w:val="decimal" w:pos="1247"/>
              </w:tabs>
              <w:jc w:val="left"/>
              <w:rPr>
                <w:sz w:val="18"/>
                <w:szCs w:val="18"/>
              </w:rPr>
            </w:pPr>
            <w:r>
              <w:rPr>
                <w:sz w:val="18"/>
                <w:szCs w:val="18"/>
              </w:rPr>
              <w:t xml:space="preserve">225 </w:t>
            </w:r>
            <w:r>
              <w:rPr>
                <w:sz w:val="18"/>
                <w:szCs w:val="18"/>
              </w:rPr>
              <w:t>474</w:t>
            </w:r>
          </w:p>
        </w:tc>
      </w:tr>
      <w:tr w:rsidR="00FD06F3">
        <w:trPr>
          <w:trHeight w:val="340"/>
          <w:jc w:val="center"/>
        </w:trPr>
        <w:tc>
          <w:tcPr>
            <w:tcW w:w="6236" w:type="dxa"/>
            <w:tcBorders>
              <w:bottom w:val="nil"/>
            </w:tcBorders>
            <w:vAlign w:val="bottom"/>
          </w:tcPr>
          <w:p w:rsidR="00FD06F3" w:rsidRDefault="00FD06F3">
            <w:pPr>
              <w:pStyle w:val="Tabletext"/>
              <w:widowControl w:val="0"/>
              <w:ind w:left="5" w:right="-108" w:hanging="113"/>
              <w:jc w:val="left"/>
              <w:rPr>
                <w:b/>
                <w:bCs/>
              </w:rPr>
            </w:pPr>
          </w:p>
        </w:tc>
        <w:tc>
          <w:tcPr>
            <w:tcW w:w="1701" w:type="dxa"/>
            <w:tcBorders>
              <w:top w:val="single" w:sz="6" w:space="0" w:color="auto"/>
              <w:bottom w:val="single" w:sz="12" w:space="0" w:color="auto"/>
            </w:tcBorders>
            <w:vAlign w:val="bottom"/>
          </w:tcPr>
          <w:p w:rsidR="00FD06F3" w:rsidRDefault="0054425B">
            <w:pPr>
              <w:widowControl w:val="0"/>
              <w:tabs>
                <w:tab w:val="decimal" w:pos="1247"/>
              </w:tabs>
              <w:jc w:val="left"/>
              <w:rPr>
                <w:b/>
                <w:sz w:val="18"/>
                <w:szCs w:val="18"/>
              </w:rPr>
            </w:pPr>
            <w:r>
              <w:rPr>
                <w:b/>
                <w:sz w:val="18"/>
                <w:szCs w:val="18"/>
              </w:rPr>
              <w:t>2 591 569</w:t>
            </w:r>
          </w:p>
        </w:tc>
        <w:tc>
          <w:tcPr>
            <w:tcW w:w="1701" w:type="dxa"/>
            <w:tcBorders>
              <w:top w:val="single" w:sz="6" w:space="0" w:color="auto"/>
              <w:bottom w:val="single" w:sz="12" w:space="0" w:color="auto"/>
            </w:tcBorders>
            <w:vAlign w:val="bottom"/>
          </w:tcPr>
          <w:p w:rsidR="00FD06F3" w:rsidRDefault="0054425B">
            <w:pPr>
              <w:widowControl w:val="0"/>
              <w:tabs>
                <w:tab w:val="decimal" w:pos="1247"/>
              </w:tabs>
              <w:jc w:val="left"/>
              <w:rPr>
                <w:b/>
                <w:sz w:val="18"/>
                <w:szCs w:val="18"/>
              </w:rPr>
            </w:pPr>
            <w:r>
              <w:rPr>
                <w:b/>
                <w:sz w:val="18"/>
                <w:szCs w:val="18"/>
              </w:rPr>
              <w:t>3 464 203</w:t>
            </w:r>
          </w:p>
        </w:tc>
      </w:tr>
    </w:tbl>
    <w:p w:rsidR="00FD06F3" w:rsidRDefault="00FD06F3">
      <w:pPr>
        <w:widowControl w:val="0"/>
      </w:pPr>
      <w:bookmarkStart w:id="118" w:name="_Toc169499581"/>
    </w:p>
    <w:p w:rsidR="00FD06F3" w:rsidRDefault="0054425B">
      <w:pPr>
        <w:widowControl w:val="0"/>
      </w:pPr>
      <w:r>
        <w:t>По состоянию на 31 декабря 2017 г. торговая и прочая кредиторская задолженность, деноминированная в иностранной валюте, составила 936 503 тыс. руб. (2016 год: 891 707 тыс. руб.).</w:t>
      </w:r>
    </w:p>
    <w:p w:rsidR="00FD06F3" w:rsidRDefault="00FD06F3">
      <w:pPr>
        <w:widowControl w:val="0"/>
      </w:pPr>
    </w:p>
    <w:p w:rsidR="00FD06F3" w:rsidRDefault="00FD06F3">
      <w:pPr>
        <w:widowControl w:val="0"/>
      </w:pPr>
    </w:p>
    <w:p w:rsidR="00FD06F3" w:rsidRDefault="0054425B">
      <w:pPr>
        <w:pStyle w:val="12"/>
      </w:pPr>
      <w:bookmarkStart w:id="119" w:name="_Toc354762891"/>
      <w:bookmarkStart w:id="120" w:name="_Toc356225096"/>
      <w:bookmarkStart w:id="121" w:name="_Toc387743862"/>
      <w:bookmarkStart w:id="122" w:name="_Toc387743939"/>
      <w:bookmarkStart w:id="123" w:name="_Toc512452527"/>
      <w:r>
        <w:t>14.</w:t>
      </w:r>
      <w:r>
        <w:tab/>
        <w:t>Обязательства по пенсионным выплатам</w:t>
      </w:r>
      <w:bookmarkEnd w:id="119"/>
      <w:bookmarkEnd w:id="120"/>
      <w:bookmarkEnd w:id="121"/>
      <w:bookmarkEnd w:id="122"/>
      <w:bookmarkEnd w:id="123"/>
    </w:p>
    <w:p w:rsidR="00FD06F3" w:rsidRDefault="00FD06F3">
      <w:pPr>
        <w:widowControl w:val="0"/>
      </w:pPr>
    </w:p>
    <w:p w:rsidR="00FD06F3" w:rsidRDefault="0054425B">
      <w:pPr>
        <w:widowControl w:val="0"/>
      </w:pPr>
      <w:r>
        <w:t>Компания предоставляет своим бывшим сотрудникам пособия после выхода на пенсию в виде ежегодных платежей в денежной форме. Большинство работников имеют право на получение денежных выплат в соответствии с пенсионным планом с установленными выплатами. Для по</w:t>
      </w:r>
      <w:r>
        <w:t>лучения такого права участник должен достичь пенсионного возраста, который в настоящее время составляет 55 лет для женщин и 60 лет для мужчин, и иметь стаж работы в Компании не менее 15 лет. Компания также предоставляет единовременные выплаты при выходе на</w:t>
      </w:r>
      <w:r>
        <w:t xml:space="preserve"> пенсию и другие долгосрочные вознаграждения работникам (например, выплаты к юбилейным датам). На настоящий момент эта схема является нефондируемой, т.е. не предполагает резервирования каких-либо конкретных активов для покрытия возникающих обязательств.</w:t>
      </w:r>
    </w:p>
    <w:p w:rsidR="00FD06F3" w:rsidRDefault="00FD06F3">
      <w:pPr>
        <w:widowControl w:val="0"/>
      </w:pPr>
    </w:p>
    <w:p w:rsidR="00FD06F3" w:rsidRDefault="0054425B">
      <w:pPr>
        <w:widowControl w:val="0"/>
      </w:pPr>
      <w:r>
        <w:t>Н</w:t>
      </w:r>
      <w:r>
        <w:t>а 31 декабря 2017 г. численность участников пенсионного плана с установленными выплатами составила 835 работников (31 декабря 2016 г.: 737 работника), а количество пенсионеров, имеющих право на получение этого права после окончания трудовой деятельности, с</w:t>
      </w:r>
      <w:r>
        <w:t>оставило 726 человек (31 декабря 2016 г.: 722 человек).</w:t>
      </w:r>
    </w:p>
    <w:p w:rsidR="00FD06F3" w:rsidRDefault="00FD06F3">
      <w:pPr>
        <w:widowControl w:val="0"/>
      </w:pPr>
    </w:p>
    <w:p w:rsidR="00FD06F3" w:rsidRDefault="0054425B">
      <w:pPr>
        <w:widowControl w:val="0"/>
      </w:pPr>
      <w:r>
        <w:t>Изменение обязательств в рамках плана с установленными выплатами представлено ниже:</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pStyle w:val="TableText0"/>
              <w:ind w:left="5" w:right="-108" w:hanging="113"/>
              <w:rPr>
                <w:b/>
                <w:bCs/>
                <w:color w:val="auto"/>
              </w:rPr>
            </w:pPr>
          </w:p>
        </w:tc>
        <w:tc>
          <w:tcPr>
            <w:tcW w:w="1701" w:type="dxa"/>
            <w:tcBorders>
              <w:bottom w:val="single" w:sz="6" w:space="0" w:color="auto"/>
            </w:tcBorders>
            <w:vAlign w:val="bottom"/>
          </w:tcPr>
          <w:p w:rsidR="00FD06F3" w:rsidRDefault="0054425B">
            <w:pPr>
              <w:pStyle w:val="TableText0"/>
              <w:ind w:left="-108" w:right="-108"/>
              <w:jc w:val="center"/>
              <w:rPr>
                <w:b/>
                <w:bCs/>
                <w:color w:val="auto"/>
              </w:rPr>
            </w:pPr>
            <w:r>
              <w:rPr>
                <w:b/>
                <w:bCs/>
                <w:color w:val="auto"/>
              </w:rPr>
              <w:t>2017 г.</w:t>
            </w:r>
          </w:p>
        </w:tc>
        <w:tc>
          <w:tcPr>
            <w:tcW w:w="1701" w:type="dxa"/>
            <w:tcBorders>
              <w:bottom w:val="single" w:sz="6" w:space="0" w:color="auto"/>
            </w:tcBorders>
            <w:vAlign w:val="bottom"/>
          </w:tcPr>
          <w:p w:rsidR="00FD06F3" w:rsidRDefault="0054425B">
            <w:pPr>
              <w:pStyle w:val="TableText0"/>
              <w:ind w:left="-108" w:right="-108"/>
              <w:jc w:val="center"/>
              <w:rPr>
                <w:b/>
                <w:bCs/>
                <w:color w:val="auto"/>
              </w:rPr>
            </w:pPr>
            <w:r>
              <w:rPr>
                <w:b/>
                <w:bCs/>
                <w:color w:val="auto"/>
              </w:rPr>
              <w:t>2016 г.</w:t>
            </w:r>
          </w:p>
        </w:tc>
      </w:tr>
      <w:tr w:rsidR="00FD06F3">
        <w:trPr>
          <w:trHeight w:val="340"/>
          <w:jc w:val="center"/>
        </w:trPr>
        <w:tc>
          <w:tcPr>
            <w:tcW w:w="6236" w:type="dxa"/>
            <w:vAlign w:val="bottom"/>
          </w:tcPr>
          <w:p w:rsidR="00FD06F3" w:rsidRDefault="0054425B">
            <w:pPr>
              <w:pStyle w:val="Tabletext"/>
              <w:widowControl w:val="0"/>
              <w:ind w:left="5" w:right="-108" w:hanging="113"/>
              <w:jc w:val="left"/>
              <w:rPr>
                <w:b/>
                <w:bCs/>
              </w:rPr>
            </w:pPr>
            <w:r>
              <w:rPr>
                <w:b/>
                <w:bCs/>
              </w:rPr>
              <w:t>На начало года</w:t>
            </w:r>
          </w:p>
        </w:tc>
        <w:tc>
          <w:tcPr>
            <w:tcW w:w="1701" w:type="dxa"/>
            <w:tcBorders>
              <w:top w:val="single" w:sz="6" w:space="0" w:color="auto"/>
            </w:tcBorders>
            <w:vAlign w:val="bottom"/>
          </w:tcPr>
          <w:p w:rsidR="00FD06F3" w:rsidRDefault="0054425B">
            <w:pPr>
              <w:tabs>
                <w:tab w:val="decimal" w:pos="1247"/>
              </w:tabs>
              <w:jc w:val="left"/>
              <w:rPr>
                <w:b/>
                <w:sz w:val="18"/>
                <w:szCs w:val="18"/>
              </w:rPr>
            </w:pPr>
            <w:r>
              <w:rPr>
                <w:b/>
                <w:sz w:val="18"/>
                <w:szCs w:val="18"/>
              </w:rPr>
              <w:t>50 981</w:t>
            </w:r>
          </w:p>
        </w:tc>
        <w:tc>
          <w:tcPr>
            <w:tcW w:w="1701" w:type="dxa"/>
            <w:tcBorders>
              <w:top w:val="single" w:sz="6" w:space="0" w:color="auto"/>
            </w:tcBorders>
            <w:vAlign w:val="bottom"/>
          </w:tcPr>
          <w:p w:rsidR="00FD06F3" w:rsidRDefault="0054425B">
            <w:pPr>
              <w:tabs>
                <w:tab w:val="decimal" w:pos="1247"/>
              </w:tabs>
              <w:jc w:val="left"/>
              <w:rPr>
                <w:b/>
                <w:sz w:val="18"/>
                <w:szCs w:val="18"/>
              </w:rPr>
            </w:pPr>
            <w:r>
              <w:rPr>
                <w:b/>
                <w:sz w:val="18"/>
                <w:szCs w:val="18"/>
              </w:rPr>
              <w:t>45 828</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Стоимость текущих услуг</w:t>
            </w:r>
          </w:p>
        </w:tc>
        <w:tc>
          <w:tcPr>
            <w:tcW w:w="1701" w:type="dxa"/>
            <w:vAlign w:val="bottom"/>
          </w:tcPr>
          <w:p w:rsidR="00FD06F3" w:rsidRDefault="0054425B">
            <w:pPr>
              <w:tabs>
                <w:tab w:val="decimal" w:pos="1247"/>
              </w:tabs>
              <w:jc w:val="left"/>
              <w:rPr>
                <w:sz w:val="18"/>
                <w:szCs w:val="18"/>
              </w:rPr>
            </w:pPr>
            <w:r>
              <w:rPr>
                <w:sz w:val="18"/>
                <w:szCs w:val="18"/>
              </w:rPr>
              <w:t>9 269</w:t>
            </w:r>
          </w:p>
        </w:tc>
        <w:tc>
          <w:tcPr>
            <w:tcW w:w="1701" w:type="dxa"/>
            <w:vAlign w:val="bottom"/>
          </w:tcPr>
          <w:p w:rsidR="00FD06F3" w:rsidRDefault="0054425B">
            <w:pPr>
              <w:tabs>
                <w:tab w:val="decimal" w:pos="1247"/>
              </w:tabs>
              <w:jc w:val="left"/>
              <w:rPr>
                <w:sz w:val="18"/>
                <w:szCs w:val="18"/>
              </w:rPr>
            </w:pPr>
            <w:r>
              <w:rPr>
                <w:sz w:val="18"/>
                <w:szCs w:val="18"/>
              </w:rPr>
              <w:t>8 332</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Затраты по процентам</w:t>
            </w:r>
          </w:p>
        </w:tc>
        <w:tc>
          <w:tcPr>
            <w:tcW w:w="1701" w:type="dxa"/>
            <w:vAlign w:val="bottom"/>
          </w:tcPr>
          <w:p w:rsidR="00FD06F3" w:rsidRDefault="0054425B">
            <w:pPr>
              <w:tabs>
                <w:tab w:val="decimal" w:pos="1247"/>
              </w:tabs>
              <w:jc w:val="left"/>
              <w:rPr>
                <w:sz w:val="18"/>
                <w:szCs w:val="18"/>
              </w:rPr>
            </w:pPr>
            <w:r>
              <w:rPr>
                <w:sz w:val="18"/>
                <w:szCs w:val="18"/>
              </w:rPr>
              <w:t>4 384</w:t>
            </w:r>
          </w:p>
        </w:tc>
        <w:tc>
          <w:tcPr>
            <w:tcW w:w="1701" w:type="dxa"/>
            <w:vAlign w:val="bottom"/>
          </w:tcPr>
          <w:p w:rsidR="00FD06F3" w:rsidRDefault="0054425B">
            <w:pPr>
              <w:tabs>
                <w:tab w:val="decimal" w:pos="1247"/>
              </w:tabs>
              <w:jc w:val="left"/>
              <w:rPr>
                <w:sz w:val="18"/>
                <w:szCs w:val="18"/>
              </w:rPr>
            </w:pPr>
            <w:r>
              <w:rPr>
                <w:sz w:val="18"/>
                <w:szCs w:val="18"/>
              </w:rPr>
              <w:t xml:space="preserve">3 </w:t>
            </w:r>
            <w:r>
              <w:rPr>
                <w:sz w:val="18"/>
                <w:szCs w:val="18"/>
              </w:rPr>
              <w:t>941</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Взносы уплаченные</w:t>
            </w:r>
          </w:p>
        </w:tc>
        <w:tc>
          <w:tcPr>
            <w:tcW w:w="1701" w:type="dxa"/>
            <w:vAlign w:val="bottom"/>
          </w:tcPr>
          <w:p w:rsidR="00FD06F3" w:rsidRDefault="0054425B">
            <w:pPr>
              <w:tabs>
                <w:tab w:val="decimal" w:pos="1247"/>
              </w:tabs>
              <w:jc w:val="left"/>
              <w:rPr>
                <w:sz w:val="18"/>
                <w:szCs w:val="18"/>
              </w:rPr>
            </w:pPr>
            <w:r>
              <w:rPr>
                <w:sz w:val="18"/>
                <w:szCs w:val="18"/>
              </w:rPr>
              <w:t>(2 846)</w:t>
            </w:r>
          </w:p>
        </w:tc>
        <w:tc>
          <w:tcPr>
            <w:tcW w:w="1701" w:type="dxa"/>
            <w:vAlign w:val="bottom"/>
          </w:tcPr>
          <w:p w:rsidR="00FD06F3" w:rsidRDefault="0054425B">
            <w:pPr>
              <w:tabs>
                <w:tab w:val="decimal" w:pos="1247"/>
              </w:tabs>
              <w:jc w:val="left"/>
              <w:rPr>
                <w:sz w:val="18"/>
                <w:szCs w:val="18"/>
              </w:rPr>
            </w:pPr>
            <w:r>
              <w:rPr>
                <w:sz w:val="18"/>
                <w:szCs w:val="18"/>
              </w:rPr>
              <w:t>(2 846)</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Актуарные прибыли</w:t>
            </w:r>
          </w:p>
        </w:tc>
        <w:tc>
          <w:tcPr>
            <w:tcW w:w="1701" w:type="dxa"/>
            <w:tcBorders>
              <w:bottom w:val="single" w:sz="6" w:space="0" w:color="auto"/>
            </w:tcBorders>
            <w:vAlign w:val="bottom"/>
          </w:tcPr>
          <w:p w:rsidR="00FD06F3" w:rsidRDefault="0054425B">
            <w:pPr>
              <w:tabs>
                <w:tab w:val="decimal" w:pos="1247"/>
              </w:tabs>
              <w:jc w:val="left"/>
              <w:rPr>
                <w:sz w:val="18"/>
                <w:szCs w:val="18"/>
              </w:rPr>
            </w:pPr>
            <w:r>
              <w:rPr>
                <w:sz w:val="18"/>
                <w:szCs w:val="18"/>
              </w:rPr>
              <w:t>(2 232)</w:t>
            </w:r>
          </w:p>
        </w:tc>
        <w:tc>
          <w:tcPr>
            <w:tcW w:w="1701" w:type="dxa"/>
            <w:tcBorders>
              <w:bottom w:val="single" w:sz="6" w:space="0" w:color="auto"/>
            </w:tcBorders>
            <w:vAlign w:val="bottom"/>
          </w:tcPr>
          <w:p w:rsidR="00FD06F3" w:rsidRDefault="0054425B">
            <w:pPr>
              <w:tabs>
                <w:tab w:val="decimal" w:pos="1247"/>
              </w:tabs>
              <w:jc w:val="left"/>
              <w:rPr>
                <w:sz w:val="18"/>
                <w:szCs w:val="18"/>
              </w:rPr>
            </w:pPr>
            <w:r>
              <w:rPr>
                <w:sz w:val="18"/>
                <w:szCs w:val="18"/>
              </w:rPr>
              <w:t>(4 274)</w:t>
            </w:r>
          </w:p>
        </w:tc>
      </w:tr>
      <w:tr w:rsidR="00FD06F3">
        <w:trPr>
          <w:trHeight w:val="340"/>
          <w:jc w:val="center"/>
        </w:trPr>
        <w:tc>
          <w:tcPr>
            <w:tcW w:w="6236" w:type="dxa"/>
            <w:vAlign w:val="bottom"/>
          </w:tcPr>
          <w:p w:rsidR="00FD06F3" w:rsidRDefault="0054425B">
            <w:pPr>
              <w:pStyle w:val="Tabletext"/>
              <w:widowControl w:val="0"/>
              <w:ind w:left="5" w:right="-108" w:hanging="113"/>
              <w:jc w:val="left"/>
              <w:rPr>
                <w:b/>
                <w:bCs/>
              </w:rPr>
            </w:pPr>
            <w:r>
              <w:rPr>
                <w:b/>
                <w:bCs/>
              </w:rPr>
              <w:t>На конец года</w:t>
            </w:r>
          </w:p>
        </w:tc>
        <w:tc>
          <w:tcPr>
            <w:tcW w:w="1701" w:type="dxa"/>
            <w:tcBorders>
              <w:top w:val="single" w:sz="6" w:space="0" w:color="auto"/>
              <w:bottom w:val="single" w:sz="12" w:space="0" w:color="auto"/>
            </w:tcBorders>
            <w:vAlign w:val="bottom"/>
          </w:tcPr>
          <w:p w:rsidR="00FD06F3" w:rsidRDefault="0054425B">
            <w:pPr>
              <w:tabs>
                <w:tab w:val="decimal" w:pos="1247"/>
              </w:tabs>
              <w:jc w:val="left"/>
              <w:rPr>
                <w:b/>
                <w:sz w:val="18"/>
                <w:szCs w:val="18"/>
              </w:rPr>
            </w:pPr>
            <w:r>
              <w:rPr>
                <w:b/>
                <w:sz w:val="18"/>
                <w:szCs w:val="18"/>
              </w:rPr>
              <w:t>59 556</w:t>
            </w:r>
          </w:p>
        </w:tc>
        <w:tc>
          <w:tcPr>
            <w:tcW w:w="1701" w:type="dxa"/>
            <w:tcBorders>
              <w:top w:val="single" w:sz="6" w:space="0" w:color="auto"/>
              <w:bottom w:val="single" w:sz="12" w:space="0" w:color="auto"/>
            </w:tcBorders>
            <w:vAlign w:val="bottom"/>
          </w:tcPr>
          <w:p w:rsidR="00FD06F3" w:rsidRDefault="0054425B">
            <w:pPr>
              <w:tabs>
                <w:tab w:val="decimal" w:pos="1247"/>
              </w:tabs>
              <w:jc w:val="left"/>
              <w:rPr>
                <w:b/>
                <w:sz w:val="18"/>
                <w:szCs w:val="18"/>
              </w:rPr>
            </w:pPr>
            <w:r>
              <w:rPr>
                <w:b/>
                <w:sz w:val="18"/>
                <w:szCs w:val="18"/>
              </w:rPr>
              <w:t>50 981</w:t>
            </w:r>
          </w:p>
        </w:tc>
      </w:tr>
      <w:tr w:rsidR="00FD06F3">
        <w:trPr>
          <w:trHeight w:val="23"/>
          <w:jc w:val="center"/>
        </w:trPr>
        <w:tc>
          <w:tcPr>
            <w:tcW w:w="6236" w:type="dxa"/>
            <w:tcBorders>
              <w:bottom w:val="nil"/>
            </w:tcBorders>
            <w:vAlign w:val="bottom"/>
          </w:tcPr>
          <w:p w:rsidR="00FD06F3" w:rsidRDefault="0054425B">
            <w:pPr>
              <w:pStyle w:val="Tabletext"/>
              <w:widowControl w:val="0"/>
              <w:ind w:left="5" w:right="-108" w:hanging="113"/>
              <w:jc w:val="left"/>
              <w:rPr>
                <w:b/>
                <w:bCs/>
              </w:rPr>
            </w:pPr>
            <w:r>
              <w:rPr>
                <w:b/>
                <w:bCs/>
              </w:rPr>
              <w:t xml:space="preserve">Текущая стоимость нефондированных обязательств </w:t>
            </w:r>
            <w:r>
              <w:rPr>
                <w:b/>
                <w:bCs/>
              </w:rPr>
              <w:br/>
              <w:t>по пенсионным планам с установленными выплатами</w:t>
            </w:r>
          </w:p>
        </w:tc>
        <w:tc>
          <w:tcPr>
            <w:tcW w:w="1701" w:type="dxa"/>
            <w:tcBorders>
              <w:top w:val="single" w:sz="12" w:space="0" w:color="auto"/>
              <w:bottom w:val="single" w:sz="12" w:space="0" w:color="auto"/>
            </w:tcBorders>
            <w:vAlign w:val="bottom"/>
          </w:tcPr>
          <w:p w:rsidR="00FD06F3" w:rsidRDefault="0054425B">
            <w:pPr>
              <w:tabs>
                <w:tab w:val="decimal" w:pos="1247"/>
              </w:tabs>
              <w:jc w:val="left"/>
              <w:rPr>
                <w:b/>
                <w:sz w:val="18"/>
                <w:szCs w:val="18"/>
              </w:rPr>
            </w:pPr>
            <w:r>
              <w:rPr>
                <w:b/>
                <w:sz w:val="18"/>
                <w:szCs w:val="18"/>
              </w:rPr>
              <w:t>59 556</w:t>
            </w:r>
          </w:p>
        </w:tc>
        <w:tc>
          <w:tcPr>
            <w:tcW w:w="1701" w:type="dxa"/>
            <w:tcBorders>
              <w:top w:val="single" w:sz="12" w:space="0" w:color="auto"/>
              <w:bottom w:val="single" w:sz="12" w:space="0" w:color="auto"/>
            </w:tcBorders>
            <w:vAlign w:val="bottom"/>
          </w:tcPr>
          <w:p w:rsidR="00FD06F3" w:rsidRDefault="0054425B">
            <w:pPr>
              <w:tabs>
                <w:tab w:val="decimal" w:pos="1247"/>
              </w:tabs>
              <w:jc w:val="left"/>
              <w:rPr>
                <w:b/>
                <w:sz w:val="18"/>
                <w:szCs w:val="18"/>
              </w:rPr>
            </w:pPr>
            <w:r>
              <w:rPr>
                <w:b/>
                <w:sz w:val="18"/>
                <w:szCs w:val="18"/>
              </w:rPr>
              <w:t>50 981</w:t>
            </w:r>
          </w:p>
        </w:tc>
      </w:tr>
    </w:tbl>
    <w:p w:rsidR="00FD06F3" w:rsidRDefault="00FD06F3">
      <w:pPr>
        <w:widowControl w:val="0"/>
      </w:pPr>
    </w:p>
    <w:p w:rsidR="00FD06F3" w:rsidRDefault="0054425B">
      <w:pPr>
        <w:widowControl w:val="0"/>
      </w:pPr>
      <w:r>
        <w:t xml:space="preserve">В консолидированном отчете о совокупном </w:t>
      </w:r>
      <w:r>
        <w:t>доходе отражены следующие суммы:</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pStyle w:val="TableText0"/>
              <w:ind w:left="5" w:right="-108" w:hanging="113"/>
              <w:rPr>
                <w:b/>
                <w:bCs/>
                <w:color w:val="auto"/>
              </w:rPr>
            </w:pPr>
          </w:p>
        </w:tc>
        <w:tc>
          <w:tcPr>
            <w:tcW w:w="1701" w:type="dxa"/>
            <w:tcBorders>
              <w:bottom w:val="single" w:sz="6" w:space="0" w:color="auto"/>
            </w:tcBorders>
            <w:vAlign w:val="bottom"/>
          </w:tcPr>
          <w:p w:rsidR="00FD06F3" w:rsidRDefault="0054425B">
            <w:pPr>
              <w:pStyle w:val="TableText0"/>
              <w:ind w:left="-108" w:right="-108"/>
              <w:jc w:val="center"/>
              <w:rPr>
                <w:b/>
                <w:bCs/>
                <w:color w:val="auto"/>
              </w:rPr>
            </w:pPr>
            <w:r>
              <w:rPr>
                <w:b/>
                <w:bCs/>
                <w:color w:val="auto"/>
              </w:rPr>
              <w:t>2017 г.</w:t>
            </w:r>
          </w:p>
        </w:tc>
        <w:tc>
          <w:tcPr>
            <w:tcW w:w="1701" w:type="dxa"/>
            <w:tcBorders>
              <w:bottom w:val="single" w:sz="6" w:space="0" w:color="auto"/>
            </w:tcBorders>
            <w:vAlign w:val="bottom"/>
          </w:tcPr>
          <w:p w:rsidR="00FD06F3" w:rsidRDefault="0054425B">
            <w:pPr>
              <w:pStyle w:val="TableText0"/>
              <w:ind w:left="-108" w:right="-108"/>
              <w:jc w:val="center"/>
              <w:rPr>
                <w:b/>
                <w:bCs/>
                <w:color w:val="auto"/>
              </w:rPr>
            </w:pPr>
            <w:r>
              <w:rPr>
                <w:b/>
                <w:bCs/>
                <w:color w:val="auto"/>
              </w:rPr>
              <w:t>2016 г.</w:t>
            </w:r>
          </w:p>
        </w:tc>
      </w:tr>
      <w:tr w:rsidR="00FD06F3">
        <w:trPr>
          <w:trHeight w:val="340"/>
          <w:jc w:val="center"/>
        </w:trPr>
        <w:tc>
          <w:tcPr>
            <w:tcW w:w="6236" w:type="dxa"/>
            <w:vAlign w:val="bottom"/>
          </w:tcPr>
          <w:p w:rsidR="00FD06F3" w:rsidRDefault="0054425B">
            <w:pPr>
              <w:pStyle w:val="Tabletext"/>
              <w:widowControl w:val="0"/>
              <w:ind w:left="5" w:right="-108" w:hanging="113"/>
              <w:jc w:val="left"/>
            </w:pPr>
            <w:r>
              <w:t>Стоимость текущих услуг</w:t>
            </w:r>
          </w:p>
        </w:tc>
        <w:tc>
          <w:tcPr>
            <w:tcW w:w="1701" w:type="dxa"/>
            <w:tcBorders>
              <w:top w:val="single" w:sz="6" w:space="0" w:color="auto"/>
            </w:tcBorders>
            <w:vAlign w:val="bottom"/>
          </w:tcPr>
          <w:p w:rsidR="00FD06F3" w:rsidRDefault="0054425B">
            <w:pPr>
              <w:tabs>
                <w:tab w:val="decimal" w:pos="1247"/>
              </w:tabs>
              <w:jc w:val="left"/>
              <w:rPr>
                <w:sz w:val="18"/>
                <w:szCs w:val="18"/>
              </w:rPr>
            </w:pPr>
            <w:r>
              <w:rPr>
                <w:sz w:val="18"/>
                <w:szCs w:val="18"/>
              </w:rPr>
              <w:t>9 269</w:t>
            </w:r>
          </w:p>
        </w:tc>
        <w:tc>
          <w:tcPr>
            <w:tcW w:w="1701" w:type="dxa"/>
            <w:tcBorders>
              <w:top w:val="single" w:sz="6" w:space="0" w:color="auto"/>
            </w:tcBorders>
            <w:vAlign w:val="bottom"/>
          </w:tcPr>
          <w:p w:rsidR="00FD06F3" w:rsidRDefault="0054425B">
            <w:pPr>
              <w:tabs>
                <w:tab w:val="decimal" w:pos="1247"/>
              </w:tabs>
              <w:jc w:val="left"/>
              <w:rPr>
                <w:sz w:val="18"/>
                <w:szCs w:val="18"/>
              </w:rPr>
            </w:pPr>
            <w:r>
              <w:rPr>
                <w:sz w:val="18"/>
                <w:szCs w:val="18"/>
              </w:rPr>
              <w:t>8 332</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Затраты по процентам</w:t>
            </w:r>
          </w:p>
        </w:tc>
        <w:tc>
          <w:tcPr>
            <w:tcW w:w="1701" w:type="dxa"/>
            <w:vAlign w:val="bottom"/>
          </w:tcPr>
          <w:p w:rsidR="00FD06F3" w:rsidRDefault="0054425B">
            <w:pPr>
              <w:tabs>
                <w:tab w:val="decimal" w:pos="1247"/>
              </w:tabs>
              <w:jc w:val="left"/>
              <w:rPr>
                <w:sz w:val="18"/>
                <w:szCs w:val="18"/>
              </w:rPr>
            </w:pPr>
            <w:r>
              <w:rPr>
                <w:sz w:val="18"/>
                <w:szCs w:val="18"/>
              </w:rPr>
              <w:t>4 384</w:t>
            </w:r>
          </w:p>
        </w:tc>
        <w:tc>
          <w:tcPr>
            <w:tcW w:w="1701" w:type="dxa"/>
            <w:vAlign w:val="bottom"/>
          </w:tcPr>
          <w:p w:rsidR="00FD06F3" w:rsidRDefault="0054425B">
            <w:pPr>
              <w:tabs>
                <w:tab w:val="decimal" w:pos="1247"/>
              </w:tabs>
              <w:jc w:val="left"/>
              <w:rPr>
                <w:sz w:val="18"/>
                <w:szCs w:val="18"/>
              </w:rPr>
            </w:pPr>
            <w:r>
              <w:rPr>
                <w:sz w:val="18"/>
                <w:szCs w:val="18"/>
              </w:rPr>
              <w:t>3 941</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Актуарные прибыли</w:t>
            </w:r>
          </w:p>
        </w:tc>
        <w:tc>
          <w:tcPr>
            <w:tcW w:w="1701" w:type="dxa"/>
            <w:tcBorders>
              <w:bottom w:val="single" w:sz="6" w:space="0" w:color="auto"/>
            </w:tcBorders>
            <w:vAlign w:val="bottom"/>
          </w:tcPr>
          <w:p w:rsidR="00FD06F3" w:rsidRDefault="0054425B">
            <w:pPr>
              <w:tabs>
                <w:tab w:val="decimal" w:pos="1247"/>
              </w:tabs>
              <w:jc w:val="left"/>
              <w:rPr>
                <w:sz w:val="18"/>
                <w:szCs w:val="18"/>
              </w:rPr>
            </w:pPr>
            <w:r>
              <w:rPr>
                <w:sz w:val="18"/>
                <w:szCs w:val="18"/>
              </w:rPr>
              <w:t>(2 232)</w:t>
            </w:r>
          </w:p>
        </w:tc>
        <w:tc>
          <w:tcPr>
            <w:tcW w:w="1701" w:type="dxa"/>
            <w:tcBorders>
              <w:bottom w:val="single" w:sz="6" w:space="0" w:color="auto"/>
            </w:tcBorders>
            <w:vAlign w:val="bottom"/>
          </w:tcPr>
          <w:p w:rsidR="00FD06F3" w:rsidRDefault="0054425B">
            <w:pPr>
              <w:tabs>
                <w:tab w:val="decimal" w:pos="1247"/>
              </w:tabs>
              <w:jc w:val="left"/>
              <w:rPr>
                <w:sz w:val="18"/>
                <w:szCs w:val="18"/>
              </w:rPr>
            </w:pPr>
            <w:r>
              <w:rPr>
                <w:sz w:val="18"/>
                <w:szCs w:val="18"/>
              </w:rPr>
              <w:t>(4 274)</w:t>
            </w:r>
          </w:p>
        </w:tc>
      </w:tr>
      <w:tr w:rsidR="00FD06F3">
        <w:trPr>
          <w:trHeight w:val="340"/>
          <w:jc w:val="center"/>
        </w:trPr>
        <w:tc>
          <w:tcPr>
            <w:tcW w:w="6236" w:type="dxa"/>
            <w:tcBorders>
              <w:bottom w:val="nil"/>
            </w:tcBorders>
            <w:vAlign w:val="bottom"/>
          </w:tcPr>
          <w:p w:rsidR="00FD06F3" w:rsidRDefault="0054425B">
            <w:pPr>
              <w:pStyle w:val="Tabletext"/>
              <w:widowControl w:val="0"/>
              <w:ind w:left="5" w:right="-108" w:hanging="113"/>
              <w:jc w:val="left"/>
              <w:rPr>
                <w:b/>
                <w:bCs/>
              </w:rPr>
            </w:pPr>
            <w:r>
              <w:rPr>
                <w:b/>
                <w:bCs/>
              </w:rPr>
              <w:t>Итого включено в затраты на персонал</w:t>
            </w:r>
          </w:p>
        </w:tc>
        <w:tc>
          <w:tcPr>
            <w:tcW w:w="1701" w:type="dxa"/>
            <w:tcBorders>
              <w:top w:val="single" w:sz="6" w:space="0" w:color="auto"/>
              <w:bottom w:val="single" w:sz="12" w:space="0" w:color="auto"/>
            </w:tcBorders>
            <w:vAlign w:val="bottom"/>
          </w:tcPr>
          <w:p w:rsidR="00FD06F3" w:rsidRDefault="0054425B">
            <w:pPr>
              <w:tabs>
                <w:tab w:val="decimal" w:pos="1247"/>
              </w:tabs>
              <w:jc w:val="left"/>
              <w:rPr>
                <w:b/>
                <w:sz w:val="18"/>
                <w:szCs w:val="18"/>
              </w:rPr>
            </w:pPr>
            <w:r>
              <w:rPr>
                <w:b/>
                <w:sz w:val="18"/>
                <w:szCs w:val="18"/>
              </w:rPr>
              <w:t>11 421</w:t>
            </w:r>
          </w:p>
        </w:tc>
        <w:tc>
          <w:tcPr>
            <w:tcW w:w="1701" w:type="dxa"/>
            <w:tcBorders>
              <w:top w:val="single" w:sz="6" w:space="0" w:color="auto"/>
              <w:bottom w:val="single" w:sz="12" w:space="0" w:color="auto"/>
            </w:tcBorders>
            <w:vAlign w:val="bottom"/>
          </w:tcPr>
          <w:p w:rsidR="00FD06F3" w:rsidRDefault="0054425B">
            <w:pPr>
              <w:tabs>
                <w:tab w:val="decimal" w:pos="1247"/>
              </w:tabs>
              <w:jc w:val="left"/>
              <w:rPr>
                <w:b/>
                <w:sz w:val="18"/>
                <w:szCs w:val="18"/>
              </w:rPr>
            </w:pPr>
            <w:r>
              <w:rPr>
                <w:b/>
                <w:sz w:val="18"/>
                <w:szCs w:val="18"/>
              </w:rPr>
              <w:t>7 999</w:t>
            </w:r>
          </w:p>
        </w:tc>
      </w:tr>
    </w:tbl>
    <w:p w:rsidR="00FD06F3" w:rsidRDefault="0054425B">
      <w:pPr>
        <w:pStyle w:val="13"/>
      </w:pPr>
      <w:r>
        <w:br w:type="page"/>
      </w:r>
      <w:r>
        <w:lastRenderedPageBreak/>
        <w:t>14.</w:t>
      </w:r>
      <w:r>
        <w:tab/>
        <w:t>Обязательства по пенсионным выплатам (</w:t>
      </w:r>
      <w:r>
        <w:rPr>
          <w:caps w:val="0"/>
        </w:rPr>
        <w:t>продолжение</w:t>
      </w:r>
      <w:r>
        <w:t>)</w:t>
      </w:r>
    </w:p>
    <w:p w:rsidR="00FD06F3" w:rsidRDefault="00FD06F3">
      <w:pPr>
        <w:widowControl w:val="0"/>
        <w:rPr>
          <w:sz w:val="18"/>
          <w:szCs w:val="18"/>
        </w:rPr>
      </w:pPr>
    </w:p>
    <w:p w:rsidR="00FD06F3" w:rsidRDefault="0054425B">
      <w:pPr>
        <w:widowControl w:val="0"/>
      </w:pPr>
      <w:r>
        <w:t>На 31 декабря 2017 и 2016 гг. основные актуарные допущения, используемые при определении сумм плана с установленными выплатами, были следующими:</w:t>
      </w:r>
    </w:p>
    <w:p w:rsidR="00FD06F3" w:rsidRDefault="00FD06F3">
      <w:pPr>
        <w:widowControl w:val="0"/>
        <w:rPr>
          <w:sz w:val="16"/>
          <w:szCs w:val="18"/>
        </w:rPr>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pStyle w:val="TableText0"/>
              <w:spacing w:line="238" w:lineRule="auto"/>
              <w:ind w:left="5" w:right="-108" w:hanging="113"/>
              <w:rPr>
                <w:color w:val="auto"/>
              </w:rPr>
            </w:pPr>
          </w:p>
        </w:tc>
        <w:tc>
          <w:tcPr>
            <w:tcW w:w="1701" w:type="dxa"/>
            <w:tcBorders>
              <w:bottom w:val="single" w:sz="6" w:space="0" w:color="auto"/>
            </w:tcBorders>
            <w:vAlign w:val="bottom"/>
          </w:tcPr>
          <w:p w:rsidR="00FD06F3" w:rsidRDefault="0054425B">
            <w:pPr>
              <w:pStyle w:val="TableText0"/>
              <w:spacing w:line="238" w:lineRule="auto"/>
              <w:ind w:left="-108" w:right="-108"/>
              <w:jc w:val="center"/>
              <w:rPr>
                <w:b/>
                <w:bCs/>
                <w:color w:val="auto"/>
              </w:rPr>
            </w:pPr>
            <w:r>
              <w:rPr>
                <w:b/>
                <w:bCs/>
                <w:color w:val="auto"/>
              </w:rPr>
              <w:t>2017 г.</w:t>
            </w:r>
          </w:p>
        </w:tc>
        <w:tc>
          <w:tcPr>
            <w:tcW w:w="1701" w:type="dxa"/>
            <w:tcBorders>
              <w:bottom w:val="single" w:sz="6" w:space="0" w:color="auto"/>
            </w:tcBorders>
            <w:vAlign w:val="bottom"/>
          </w:tcPr>
          <w:p w:rsidR="00FD06F3" w:rsidRDefault="0054425B">
            <w:pPr>
              <w:pStyle w:val="TableText0"/>
              <w:spacing w:line="238" w:lineRule="auto"/>
              <w:ind w:left="-108" w:right="-108"/>
              <w:jc w:val="center"/>
              <w:rPr>
                <w:b/>
                <w:bCs/>
                <w:color w:val="auto"/>
              </w:rPr>
            </w:pPr>
            <w:r>
              <w:rPr>
                <w:b/>
                <w:bCs/>
                <w:color w:val="auto"/>
              </w:rPr>
              <w:t>2016 г.</w:t>
            </w:r>
          </w:p>
        </w:tc>
      </w:tr>
      <w:tr w:rsidR="00FD06F3">
        <w:trPr>
          <w:trHeight w:val="340"/>
          <w:jc w:val="center"/>
        </w:trPr>
        <w:tc>
          <w:tcPr>
            <w:tcW w:w="6236" w:type="dxa"/>
            <w:vAlign w:val="bottom"/>
          </w:tcPr>
          <w:p w:rsidR="00FD06F3" w:rsidRDefault="0054425B">
            <w:pPr>
              <w:pStyle w:val="Tabletext"/>
              <w:widowControl w:val="0"/>
              <w:spacing w:line="238" w:lineRule="auto"/>
              <w:ind w:left="5" w:right="-108" w:hanging="113"/>
              <w:jc w:val="left"/>
            </w:pPr>
            <w:r>
              <w:t>Ставка дисконтирования</w:t>
            </w:r>
          </w:p>
        </w:tc>
        <w:tc>
          <w:tcPr>
            <w:tcW w:w="1701" w:type="dxa"/>
            <w:tcBorders>
              <w:top w:val="single" w:sz="6" w:space="0" w:color="auto"/>
            </w:tcBorders>
            <w:vAlign w:val="bottom"/>
          </w:tcPr>
          <w:p w:rsidR="00FD06F3" w:rsidRDefault="0054425B">
            <w:pPr>
              <w:pStyle w:val="Tabletext"/>
              <w:widowControl w:val="0"/>
              <w:spacing w:line="238" w:lineRule="auto"/>
              <w:ind w:left="-108" w:right="-108"/>
              <w:jc w:val="center"/>
            </w:pPr>
            <w:r>
              <w:t>8%</w:t>
            </w:r>
          </w:p>
        </w:tc>
        <w:tc>
          <w:tcPr>
            <w:tcW w:w="1701" w:type="dxa"/>
            <w:tcBorders>
              <w:top w:val="single" w:sz="6" w:space="0" w:color="auto"/>
            </w:tcBorders>
            <w:vAlign w:val="bottom"/>
          </w:tcPr>
          <w:p w:rsidR="00FD06F3" w:rsidRDefault="0054425B">
            <w:pPr>
              <w:pStyle w:val="Tabletext"/>
              <w:widowControl w:val="0"/>
              <w:spacing w:line="238" w:lineRule="auto"/>
              <w:ind w:left="-108" w:right="-108"/>
              <w:jc w:val="center"/>
            </w:pPr>
            <w:r>
              <w:t>8%</w:t>
            </w:r>
          </w:p>
        </w:tc>
      </w:tr>
      <w:tr w:rsidR="00FD06F3">
        <w:trPr>
          <w:trHeight w:val="23"/>
          <w:jc w:val="center"/>
        </w:trPr>
        <w:tc>
          <w:tcPr>
            <w:tcW w:w="6236" w:type="dxa"/>
            <w:vAlign w:val="bottom"/>
          </w:tcPr>
          <w:p w:rsidR="00FD06F3" w:rsidRDefault="0054425B">
            <w:pPr>
              <w:pStyle w:val="Tabletext"/>
              <w:widowControl w:val="0"/>
              <w:spacing w:line="238" w:lineRule="auto"/>
              <w:ind w:left="5" w:right="-108" w:hanging="113"/>
              <w:jc w:val="left"/>
            </w:pPr>
            <w:r>
              <w:t>Будущее увеличение заработной платы</w:t>
            </w:r>
          </w:p>
        </w:tc>
        <w:tc>
          <w:tcPr>
            <w:tcW w:w="1701" w:type="dxa"/>
            <w:vAlign w:val="bottom"/>
          </w:tcPr>
          <w:p w:rsidR="00FD06F3" w:rsidRDefault="0054425B">
            <w:pPr>
              <w:pStyle w:val="Tabletext"/>
              <w:widowControl w:val="0"/>
              <w:spacing w:line="238" w:lineRule="auto"/>
              <w:ind w:left="-108" w:right="-108"/>
              <w:jc w:val="center"/>
            </w:pPr>
            <w:r>
              <w:t>7,6%</w:t>
            </w:r>
          </w:p>
        </w:tc>
        <w:tc>
          <w:tcPr>
            <w:tcW w:w="1701" w:type="dxa"/>
            <w:vAlign w:val="bottom"/>
          </w:tcPr>
          <w:p w:rsidR="00FD06F3" w:rsidRDefault="0054425B">
            <w:pPr>
              <w:pStyle w:val="Tabletext"/>
              <w:widowControl w:val="0"/>
              <w:spacing w:line="238" w:lineRule="auto"/>
              <w:ind w:left="-108" w:right="-108"/>
              <w:jc w:val="center"/>
            </w:pPr>
            <w:r>
              <w:t>7,6%</w:t>
            </w:r>
          </w:p>
        </w:tc>
      </w:tr>
      <w:tr w:rsidR="00FD06F3">
        <w:trPr>
          <w:trHeight w:val="23"/>
          <w:jc w:val="center"/>
        </w:trPr>
        <w:tc>
          <w:tcPr>
            <w:tcW w:w="6236" w:type="dxa"/>
            <w:vAlign w:val="bottom"/>
          </w:tcPr>
          <w:p w:rsidR="00FD06F3" w:rsidRDefault="0054425B">
            <w:pPr>
              <w:pStyle w:val="Tabletext"/>
              <w:widowControl w:val="0"/>
              <w:spacing w:line="238" w:lineRule="auto"/>
              <w:ind w:left="5" w:right="-108" w:hanging="113"/>
              <w:jc w:val="left"/>
            </w:pPr>
            <w:r>
              <w:t>Увеличение финансовой поддержки</w:t>
            </w:r>
          </w:p>
        </w:tc>
        <w:tc>
          <w:tcPr>
            <w:tcW w:w="1701" w:type="dxa"/>
            <w:vAlign w:val="bottom"/>
          </w:tcPr>
          <w:p w:rsidR="00FD06F3" w:rsidRDefault="0054425B">
            <w:pPr>
              <w:pStyle w:val="Tabletext"/>
              <w:widowControl w:val="0"/>
              <w:spacing w:line="238" w:lineRule="auto"/>
              <w:ind w:left="-108" w:right="-108"/>
              <w:jc w:val="center"/>
            </w:pPr>
            <w:r>
              <w:t>0%</w:t>
            </w:r>
          </w:p>
        </w:tc>
        <w:tc>
          <w:tcPr>
            <w:tcW w:w="1701" w:type="dxa"/>
            <w:vAlign w:val="bottom"/>
          </w:tcPr>
          <w:p w:rsidR="00FD06F3" w:rsidRDefault="0054425B">
            <w:pPr>
              <w:pStyle w:val="Tabletext"/>
              <w:widowControl w:val="0"/>
              <w:spacing w:line="238" w:lineRule="auto"/>
              <w:ind w:left="-108" w:right="-108"/>
              <w:jc w:val="center"/>
            </w:pPr>
            <w:r>
              <w:t>0%</w:t>
            </w:r>
          </w:p>
        </w:tc>
      </w:tr>
      <w:tr w:rsidR="00FD06F3">
        <w:trPr>
          <w:trHeight w:val="23"/>
          <w:jc w:val="center"/>
        </w:trPr>
        <w:tc>
          <w:tcPr>
            <w:tcW w:w="6236" w:type="dxa"/>
            <w:tcBorders>
              <w:bottom w:val="nil"/>
            </w:tcBorders>
            <w:vAlign w:val="bottom"/>
          </w:tcPr>
          <w:p w:rsidR="00FD06F3" w:rsidRDefault="0054425B">
            <w:pPr>
              <w:pStyle w:val="Tabletext"/>
              <w:widowControl w:val="0"/>
              <w:spacing w:line="238" w:lineRule="auto"/>
              <w:ind w:left="5" w:right="-108" w:hanging="113"/>
              <w:jc w:val="left"/>
            </w:pPr>
            <w:r>
              <w:t>Таблицы смертности (источник информации)</w:t>
            </w:r>
          </w:p>
        </w:tc>
        <w:tc>
          <w:tcPr>
            <w:tcW w:w="1701" w:type="dxa"/>
            <w:vAlign w:val="bottom"/>
          </w:tcPr>
          <w:p w:rsidR="00FD06F3" w:rsidRDefault="0054425B">
            <w:pPr>
              <w:pStyle w:val="Tabletext"/>
              <w:widowControl w:val="0"/>
              <w:spacing w:line="238" w:lineRule="auto"/>
              <w:ind w:left="-108" w:right="-108"/>
              <w:jc w:val="center"/>
            </w:pPr>
            <w:r>
              <w:t>Россия, 1998 г.</w:t>
            </w:r>
          </w:p>
        </w:tc>
        <w:tc>
          <w:tcPr>
            <w:tcW w:w="1701" w:type="dxa"/>
            <w:vAlign w:val="bottom"/>
          </w:tcPr>
          <w:p w:rsidR="00FD06F3" w:rsidRDefault="0054425B">
            <w:pPr>
              <w:pStyle w:val="Tabletext"/>
              <w:widowControl w:val="0"/>
              <w:spacing w:line="238" w:lineRule="auto"/>
              <w:ind w:left="-108" w:right="-108"/>
              <w:jc w:val="center"/>
            </w:pPr>
            <w:r>
              <w:t>Россия, 1998 г.</w:t>
            </w:r>
          </w:p>
        </w:tc>
      </w:tr>
    </w:tbl>
    <w:p w:rsidR="00FD06F3" w:rsidRDefault="00FD06F3">
      <w:pPr>
        <w:rPr>
          <w:sz w:val="18"/>
          <w:szCs w:val="18"/>
        </w:rPr>
      </w:pPr>
      <w:bookmarkStart w:id="124" w:name="_Toc354762892"/>
      <w:bookmarkStart w:id="125" w:name="_Toc356225097"/>
      <w:bookmarkStart w:id="126" w:name="_Toc387743863"/>
      <w:bookmarkStart w:id="127" w:name="_Toc387743940"/>
      <w:bookmarkEnd w:id="118"/>
    </w:p>
    <w:p w:rsidR="00FD06F3" w:rsidRDefault="00FD06F3">
      <w:pPr>
        <w:rPr>
          <w:sz w:val="18"/>
          <w:szCs w:val="18"/>
        </w:rPr>
      </w:pPr>
    </w:p>
    <w:p w:rsidR="00FD06F3" w:rsidRDefault="0054425B">
      <w:pPr>
        <w:pStyle w:val="12"/>
      </w:pPr>
      <w:bookmarkStart w:id="128" w:name="_Toc512452528"/>
      <w:r>
        <w:t>15.</w:t>
      </w:r>
      <w:r>
        <w:tab/>
        <w:t>Классификация затрат по видам</w:t>
      </w:r>
      <w:bookmarkEnd w:id="124"/>
      <w:bookmarkEnd w:id="125"/>
      <w:bookmarkEnd w:id="126"/>
      <w:bookmarkEnd w:id="127"/>
      <w:bookmarkEnd w:id="128"/>
    </w:p>
    <w:p w:rsidR="00FD06F3" w:rsidRDefault="00FD06F3">
      <w:pPr>
        <w:widowControl w:val="0"/>
        <w:rPr>
          <w:sz w:val="16"/>
          <w:szCs w:val="18"/>
        </w:rPr>
      </w:pPr>
    </w:p>
    <w:p w:rsidR="00FD06F3" w:rsidRDefault="0054425B">
      <w:pPr>
        <w:widowControl w:val="0"/>
      </w:pPr>
      <w:r>
        <w:t>Структура затрат Группы в 2017 и 2016 годах была следующая:</w:t>
      </w:r>
    </w:p>
    <w:p w:rsidR="00FD06F3" w:rsidRDefault="00FD06F3">
      <w:pPr>
        <w:widowControl w:val="0"/>
        <w:rPr>
          <w:sz w:val="14"/>
          <w:szCs w:val="18"/>
        </w:rPr>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widowControl w:val="0"/>
              <w:spacing w:line="238" w:lineRule="auto"/>
              <w:ind w:left="5" w:right="-108" w:hanging="113"/>
              <w:jc w:val="left"/>
              <w:rPr>
                <w:b/>
                <w:bCs/>
                <w:sz w:val="18"/>
                <w:szCs w:val="18"/>
              </w:rPr>
            </w:pPr>
          </w:p>
        </w:tc>
        <w:tc>
          <w:tcPr>
            <w:tcW w:w="1701" w:type="dxa"/>
            <w:tcBorders>
              <w:bottom w:val="single" w:sz="6" w:space="0" w:color="auto"/>
            </w:tcBorders>
            <w:vAlign w:val="bottom"/>
          </w:tcPr>
          <w:p w:rsidR="00FD06F3" w:rsidRDefault="0054425B">
            <w:pPr>
              <w:widowControl w:val="0"/>
              <w:spacing w:line="238" w:lineRule="auto"/>
              <w:ind w:left="-108" w:right="-108"/>
              <w:jc w:val="center"/>
              <w:rPr>
                <w:b/>
                <w:bCs/>
                <w:sz w:val="18"/>
                <w:szCs w:val="18"/>
              </w:rPr>
            </w:pPr>
            <w:r>
              <w:rPr>
                <w:b/>
                <w:bCs/>
                <w:sz w:val="18"/>
                <w:szCs w:val="18"/>
              </w:rPr>
              <w:t>2017 г.</w:t>
            </w:r>
          </w:p>
        </w:tc>
        <w:tc>
          <w:tcPr>
            <w:tcW w:w="1701" w:type="dxa"/>
            <w:tcBorders>
              <w:bottom w:val="single" w:sz="6" w:space="0" w:color="auto"/>
            </w:tcBorders>
            <w:vAlign w:val="bottom"/>
          </w:tcPr>
          <w:p w:rsidR="00FD06F3" w:rsidRDefault="0054425B">
            <w:pPr>
              <w:widowControl w:val="0"/>
              <w:spacing w:line="238" w:lineRule="auto"/>
              <w:ind w:left="-108" w:right="-108"/>
              <w:jc w:val="center"/>
              <w:rPr>
                <w:b/>
                <w:bCs/>
                <w:sz w:val="18"/>
                <w:szCs w:val="18"/>
              </w:rPr>
            </w:pPr>
            <w:r>
              <w:rPr>
                <w:b/>
                <w:bCs/>
                <w:sz w:val="18"/>
                <w:szCs w:val="18"/>
              </w:rPr>
              <w:t>2016 г.</w:t>
            </w:r>
          </w:p>
        </w:tc>
      </w:tr>
      <w:tr w:rsidR="00FD06F3">
        <w:trPr>
          <w:trHeight w:val="340"/>
          <w:jc w:val="center"/>
        </w:trPr>
        <w:tc>
          <w:tcPr>
            <w:tcW w:w="6236" w:type="dxa"/>
            <w:vAlign w:val="bottom"/>
          </w:tcPr>
          <w:p w:rsidR="00FD06F3" w:rsidRDefault="0054425B">
            <w:pPr>
              <w:widowControl w:val="0"/>
              <w:spacing w:line="238" w:lineRule="auto"/>
              <w:ind w:left="5" w:right="-108" w:hanging="113"/>
              <w:jc w:val="left"/>
              <w:rPr>
                <w:sz w:val="18"/>
                <w:szCs w:val="18"/>
              </w:rPr>
            </w:pPr>
            <w:r>
              <w:rPr>
                <w:sz w:val="18"/>
                <w:szCs w:val="18"/>
              </w:rPr>
              <w:t>Сырье</w:t>
            </w:r>
          </w:p>
        </w:tc>
        <w:tc>
          <w:tcPr>
            <w:tcW w:w="1701" w:type="dxa"/>
            <w:tcBorders>
              <w:top w:val="single" w:sz="6" w:space="0" w:color="auto"/>
            </w:tcBorders>
            <w:vAlign w:val="bottom"/>
          </w:tcPr>
          <w:p w:rsidR="00FD06F3" w:rsidRDefault="0054425B">
            <w:pPr>
              <w:tabs>
                <w:tab w:val="decimal" w:pos="1247"/>
              </w:tabs>
              <w:spacing w:line="238" w:lineRule="auto"/>
              <w:jc w:val="left"/>
              <w:rPr>
                <w:sz w:val="18"/>
                <w:szCs w:val="18"/>
              </w:rPr>
            </w:pPr>
            <w:r>
              <w:rPr>
                <w:sz w:val="18"/>
                <w:szCs w:val="18"/>
              </w:rPr>
              <w:t>(9 735 438)</w:t>
            </w:r>
          </w:p>
        </w:tc>
        <w:tc>
          <w:tcPr>
            <w:tcW w:w="1701" w:type="dxa"/>
            <w:tcBorders>
              <w:top w:val="single" w:sz="6" w:space="0" w:color="auto"/>
            </w:tcBorders>
            <w:vAlign w:val="bottom"/>
          </w:tcPr>
          <w:p w:rsidR="00FD06F3" w:rsidRDefault="0054425B">
            <w:pPr>
              <w:tabs>
                <w:tab w:val="decimal" w:pos="1247"/>
              </w:tabs>
              <w:spacing w:line="238" w:lineRule="auto"/>
              <w:jc w:val="left"/>
              <w:rPr>
                <w:sz w:val="18"/>
                <w:szCs w:val="18"/>
              </w:rPr>
            </w:pPr>
            <w:r>
              <w:rPr>
                <w:sz w:val="18"/>
                <w:szCs w:val="18"/>
              </w:rPr>
              <w:t xml:space="preserve">(11 </w:t>
            </w:r>
            <w:r>
              <w:rPr>
                <w:sz w:val="18"/>
                <w:szCs w:val="18"/>
              </w:rPr>
              <w:t>596 955)</w:t>
            </w:r>
          </w:p>
        </w:tc>
      </w:tr>
      <w:tr w:rsidR="00FD06F3">
        <w:trPr>
          <w:trHeight w:val="23"/>
          <w:jc w:val="center"/>
        </w:trPr>
        <w:tc>
          <w:tcPr>
            <w:tcW w:w="6236" w:type="dxa"/>
            <w:vAlign w:val="bottom"/>
          </w:tcPr>
          <w:p w:rsidR="00FD06F3" w:rsidRDefault="0054425B">
            <w:pPr>
              <w:widowControl w:val="0"/>
              <w:spacing w:line="238" w:lineRule="auto"/>
              <w:ind w:left="5" w:right="-108" w:hanging="113"/>
              <w:jc w:val="left"/>
              <w:rPr>
                <w:sz w:val="18"/>
                <w:szCs w:val="18"/>
              </w:rPr>
            </w:pPr>
            <w:r>
              <w:rPr>
                <w:sz w:val="18"/>
                <w:szCs w:val="18"/>
              </w:rPr>
              <w:t>Расходы на персонал</w:t>
            </w:r>
          </w:p>
        </w:tc>
        <w:tc>
          <w:tcPr>
            <w:tcW w:w="1701" w:type="dxa"/>
            <w:vAlign w:val="bottom"/>
          </w:tcPr>
          <w:p w:rsidR="00FD06F3" w:rsidRDefault="0054425B">
            <w:pPr>
              <w:tabs>
                <w:tab w:val="decimal" w:pos="1247"/>
              </w:tabs>
              <w:spacing w:line="238" w:lineRule="auto"/>
              <w:jc w:val="left"/>
              <w:rPr>
                <w:sz w:val="18"/>
                <w:szCs w:val="18"/>
              </w:rPr>
            </w:pPr>
            <w:r>
              <w:rPr>
                <w:sz w:val="18"/>
                <w:szCs w:val="18"/>
              </w:rPr>
              <w:t>(1 616 312)</w:t>
            </w:r>
          </w:p>
        </w:tc>
        <w:tc>
          <w:tcPr>
            <w:tcW w:w="1701" w:type="dxa"/>
            <w:vAlign w:val="bottom"/>
          </w:tcPr>
          <w:p w:rsidR="00FD06F3" w:rsidRDefault="0054425B">
            <w:pPr>
              <w:tabs>
                <w:tab w:val="decimal" w:pos="1247"/>
              </w:tabs>
              <w:spacing w:line="238" w:lineRule="auto"/>
              <w:jc w:val="left"/>
              <w:rPr>
                <w:sz w:val="18"/>
                <w:szCs w:val="18"/>
              </w:rPr>
            </w:pPr>
            <w:r>
              <w:rPr>
                <w:sz w:val="18"/>
                <w:szCs w:val="18"/>
              </w:rPr>
              <w:t>(1 473 751)</w:t>
            </w:r>
          </w:p>
        </w:tc>
      </w:tr>
      <w:tr w:rsidR="00FD06F3">
        <w:trPr>
          <w:trHeight w:val="23"/>
          <w:jc w:val="center"/>
        </w:trPr>
        <w:tc>
          <w:tcPr>
            <w:tcW w:w="6236" w:type="dxa"/>
            <w:vAlign w:val="bottom"/>
          </w:tcPr>
          <w:p w:rsidR="00FD06F3" w:rsidRDefault="0054425B">
            <w:pPr>
              <w:widowControl w:val="0"/>
              <w:spacing w:line="238" w:lineRule="auto"/>
              <w:ind w:left="5" w:right="-108" w:hanging="113"/>
              <w:jc w:val="left"/>
              <w:rPr>
                <w:sz w:val="18"/>
                <w:szCs w:val="18"/>
              </w:rPr>
            </w:pPr>
            <w:r>
              <w:rPr>
                <w:sz w:val="18"/>
                <w:szCs w:val="18"/>
              </w:rPr>
              <w:t>Износ и амортизация</w:t>
            </w:r>
          </w:p>
        </w:tc>
        <w:tc>
          <w:tcPr>
            <w:tcW w:w="1701" w:type="dxa"/>
            <w:vAlign w:val="bottom"/>
          </w:tcPr>
          <w:p w:rsidR="00FD06F3" w:rsidRDefault="0054425B">
            <w:pPr>
              <w:tabs>
                <w:tab w:val="decimal" w:pos="1247"/>
              </w:tabs>
              <w:spacing w:line="238" w:lineRule="auto"/>
              <w:jc w:val="left"/>
              <w:rPr>
                <w:sz w:val="18"/>
                <w:szCs w:val="18"/>
              </w:rPr>
            </w:pPr>
            <w:r>
              <w:rPr>
                <w:sz w:val="18"/>
                <w:szCs w:val="18"/>
              </w:rPr>
              <w:t>(485 193)</w:t>
            </w:r>
          </w:p>
        </w:tc>
        <w:tc>
          <w:tcPr>
            <w:tcW w:w="1701" w:type="dxa"/>
            <w:vAlign w:val="bottom"/>
          </w:tcPr>
          <w:p w:rsidR="00FD06F3" w:rsidRDefault="0054425B">
            <w:pPr>
              <w:tabs>
                <w:tab w:val="decimal" w:pos="1247"/>
              </w:tabs>
              <w:spacing w:line="238" w:lineRule="auto"/>
              <w:jc w:val="left"/>
              <w:rPr>
                <w:sz w:val="18"/>
                <w:szCs w:val="18"/>
              </w:rPr>
            </w:pPr>
            <w:r>
              <w:rPr>
                <w:sz w:val="18"/>
                <w:szCs w:val="18"/>
              </w:rPr>
              <w:t>(461 478)</w:t>
            </w:r>
          </w:p>
        </w:tc>
      </w:tr>
      <w:tr w:rsidR="00FD06F3">
        <w:trPr>
          <w:trHeight w:val="23"/>
          <w:jc w:val="center"/>
        </w:trPr>
        <w:tc>
          <w:tcPr>
            <w:tcW w:w="6236" w:type="dxa"/>
            <w:vAlign w:val="bottom"/>
          </w:tcPr>
          <w:p w:rsidR="00FD06F3" w:rsidRDefault="0054425B">
            <w:pPr>
              <w:widowControl w:val="0"/>
              <w:spacing w:line="238" w:lineRule="auto"/>
              <w:ind w:left="5" w:right="-108" w:hanging="113"/>
              <w:jc w:val="left"/>
              <w:rPr>
                <w:sz w:val="18"/>
                <w:szCs w:val="18"/>
              </w:rPr>
            </w:pPr>
            <w:r>
              <w:rPr>
                <w:sz w:val="18"/>
                <w:szCs w:val="18"/>
              </w:rPr>
              <w:t>Ремонт и техническое обслуживание основных средств</w:t>
            </w:r>
          </w:p>
        </w:tc>
        <w:tc>
          <w:tcPr>
            <w:tcW w:w="1701" w:type="dxa"/>
            <w:vAlign w:val="bottom"/>
          </w:tcPr>
          <w:p w:rsidR="00FD06F3" w:rsidRDefault="0054425B">
            <w:pPr>
              <w:tabs>
                <w:tab w:val="decimal" w:pos="1247"/>
              </w:tabs>
              <w:spacing w:line="238" w:lineRule="auto"/>
              <w:jc w:val="left"/>
              <w:rPr>
                <w:sz w:val="18"/>
                <w:szCs w:val="18"/>
              </w:rPr>
            </w:pPr>
            <w:r>
              <w:rPr>
                <w:sz w:val="18"/>
                <w:szCs w:val="18"/>
              </w:rPr>
              <w:t>(73 523)</w:t>
            </w:r>
          </w:p>
        </w:tc>
        <w:tc>
          <w:tcPr>
            <w:tcW w:w="1701" w:type="dxa"/>
            <w:vAlign w:val="bottom"/>
          </w:tcPr>
          <w:p w:rsidR="00FD06F3" w:rsidRDefault="0054425B">
            <w:pPr>
              <w:tabs>
                <w:tab w:val="decimal" w:pos="1247"/>
              </w:tabs>
              <w:spacing w:line="238" w:lineRule="auto"/>
              <w:jc w:val="left"/>
              <w:rPr>
                <w:sz w:val="18"/>
                <w:szCs w:val="18"/>
              </w:rPr>
            </w:pPr>
            <w:r>
              <w:rPr>
                <w:sz w:val="18"/>
                <w:szCs w:val="18"/>
              </w:rPr>
              <w:t>(56 906)</w:t>
            </w:r>
          </w:p>
        </w:tc>
      </w:tr>
      <w:tr w:rsidR="00FD06F3">
        <w:trPr>
          <w:trHeight w:val="23"/>
          <w:jc w:val="center"/>
        </w:trPr>
        <w:tc>
          <w:tcPr>
            <w:tcW w:w="6236" w:type="dxa"/>
            <w:vAlign w:val="bottom"/>
          </w:tcPr>
          <w:p w:rsidR="00FD06F3" w:rsidRDefault="0054425B">
            <w:pPr>
              <w:widowControl w:val="0"/>
              <w:spacing w:line="238" w:lineRule="auto"/>
              <w:ind w:left="5" w:right="-108" w:hanging="113"/>
              <w:jc w:val="left"/>
              <w:rPr>
                <w:sz w:val="18"/>
                <w:szCs w:val="18"/>
              </w:rPr>
            </w:pPr>
            <w:r>
              <w:rPr>
                <w:sz w:val="18"/>
                <w:szCs w:val="18"/>
              </w:rPr>
              <w:t>Расходы на рекламу</w:t>
            </w:r>
          </w:p>
        </w:tc>
        <w:tc>
          <w:tcPr>
            <w:tcW w:w="1701" w:type="dxa"/>
            <w:vAlign w:val="bottom"/>
          </w:tcPr>
          <w:p w:rsidR="00FD06F3" w:rsidRDefault="0054425B">
            <w:pPr>
              <w:tabs>
                <w:tab w:val="decimal" w:pos="1247"/>
              </w:tabs>
              <w:spacing w:line="238" w:lineRule="auto"/>
              <w:jc w:val="left"/>
              <w:rPr>
                <w:sz w:val="18"/>
                <w:szCs w:val="18"/>
              </w:rPr>
            </w:pPr>
            <w:r>
              <w:rPr>
                <w:sz w:val="18"/>
                <w:szCs w:val="18"/>
              </w:rPr>
              <w:t>(202 914)</w:t>
            </w:r>
          </w:p>
        </w:tc>
        <w:tc>
          <w:tcPr>
            <w:tcW w:w="1701" w:type="dxa"/>
            <w:vAlign w:val="bottom"/>
          </w:tcPr>
          <w:p w:rsidR="00FD06F3" w:rsidRDefault="0054425B">
            <w:pPr>
              <w:tabs>
                <w:tab w:val="decimal" w:pos="1247"/>
              </w:tabs>
              <w:spacing w:line="238" w:lineRule="auto"/>
              <w:jc w:val="left"/>
              <w:rPr>
                <w:sz w:val="18"/>
                <w:szCs w:val="18"/>
              </w:rPr>
            </w:pPr>
            <w:r>
              <w:rPr>
                <w:sz w:val="18"/>
                <w:szCs w:val="18"/>
              </w:rPr>
              <w:t>(170 430)</w:t>
            </w:r>
          </w:p>
        </w:tc>
      </w:tr>
      <w:tr w:rsidR="00FD06F3">
        <w:trPr>
          <w:trHeight w:val="23"/>
          <w:jc w:val="center"/>
        </w:trPr>
        <w:tc>
          <w:tcPr>
            <w:tcW w:w="6236" w:type="dxa"/>
            <w:vAlign w:val="bottom"/>
          </w:tcPr>
          <w:p w:rsidR="00FD06F3" w:rsidRDefault="0054425B">
            <w:pPr>
              <w:widowControl w:val="0"/>
              <w:spacing w:line="238" w:lineRule="auto"/>
              <w:ind w:left="5" w:right="-108" w:hanging="113"/>
              <w:jc w:val="left"/>
              <w:rPr>
                <w:sz w:val="18"/>
                <w:szCs w:val="18"/>
              </w:rPr>
            </w:pPr>
            <w:r>
              <w:rPr>
                <w:sz w:val="18"/>
                <w:szCs w:val="18"/>
              </w:rPr>
              <w:t>Страхование</w:t>
            </w:r>
          </w:p>
        </w:tc>
        <w:tc>
          <w:tcPr>
            <w:tcW w:w="1701" w:type="dxa"/>
            <w:vAlign w:val="bottom"/>
          </w:tcPr>
          <w:p w:rsidR="00FD06F3" w:rsidRDefault="0054425B">
            <w:pPr>
              <w:tabs>
                <w:tab w:val="decimal" w:pos="1247"/>
              </w:tabs>
              <w:spacing w:line="238" w:lineRule="auto"/>
              <w:jc w:val="left"/>
              <w:rPr>
                <w:sz w:val="18"/>
                <w:szCs w:val="18"/>
              </w:rPr>
            </w:pPr>
            <w:r>
              <w:rPr>
                <w:sz w:val="18"/>
                <w:szCs w:val="18"/>
              </w:rPr>
              <w:t>(8 616)</w:t>
            </w:r>
          </w:p>
        </w:tc>
        <w:tc>
          <w:tcPr>
            <w:tcW w:w="1701" w:type="dxa"/>
            <w:vAlign w:val="bottom"/>
          </w:tcPr>
          <w:p w:rsidR="00FD06F3" w:rsidRDefault="0054425B">
            <w:pPr>
              <w:tabs>
                <w:tab w:val="decimal" w:pos="1247"/>
              </w:tabs>
              <w:spacing w:line="238" w:lineRule="auto"/>
              <w:jc w:val="left"/>
              <w:rPr>
                <w:sz w:val="18"/>
                <w:szCs w:val="18"/>
              </w:rPr>
            </w:pPr>
            <w:r>
              <w:rPr>
                <w:sz w:val="18"/>
                <w:szCs w:val="18"/>
              </w:rPr>
              <w:t>(3 569)</w:t>
            </w:r>
          </w:p>
        </w:tc>
      </w:tr>
      <w:tr w:rsidR="00FD06F3">
        <w:trPr>
          <w:trHeight w:val="23"/>
          <w:jc w:val="center"/>
        </w:trPr>
        <w:tc>
          <w:tcPr>
            <w:tcW w:w="6236" w:type="dxa"/>
            <w:vAlign w:val="bottom"/>
          </w:tcPr>
          <w:p w:rsidR="00FD06F3" w:rsidRDefault="0054425B">
            <w:pPr>
              <w:widowControl w:val="0"/>
              <w:spacing w:line="238" w:lineRule="auto"/>
              <w:ind w:left="5" w:right="-108" w:hanging="113"/>
              <w:jc w:val="left"/>
              <w:rPr>
                <w:sz w:val="18"/>
                <w:szCs w:val="18"/>
              </w:rPr>
            </w:pPr>
            <w:r>
              <w:rPr>
                <w:sz w:val="18"/>
                <w:szCs w:val="18"/>
              </w:rPr>
              <w:t xml:space="preserve">Расходы по договорам </w:t>
            </w:r>
            <w:r>
              <w:rPr>
                <w:sz w:val="18"/>
                <w:szCs w:val="18"/>
              </w:rPr>
              <w:t>операционной аренды</w:t>
            </w:r>
          </w:p>
        </w:tc>
        <w:tc>
          <w:tcPr>
            <w:tcW w:w="1701" w:type="dxa"/>
            <w:vAlign w:val="bottom"/>
          </w:tcPr>
          <w:p w:rsidR="00FD06F3" w:rsidRDefault="0054425B">
            <w:pPr>
              <w:tabs>
                <w:tab w:val="decimal" w:pos="1247"/>
              </w:tabs>
              <w:spacing w:line="238" w:lineRule="auto"/>
              <w:jc w:val="left"/>
              <w:rPr>
                <w:sz w:val="18"/>
                <w:szCs w:val="18"/>
              </w:rPr>
            </w:pPr>
            <w:r>
              <w:rPr>
                <w:sz w:val="18"/>
                <w:szCs w:val="18"/>
              </w:rPr>
              <w:t>(9 969)</w:t>
            </w:r>
          </w:p>
        </w:tc>
        <w:tc>
          <w:tcPr>
            <w:tcW w:w="1701" w:type="dxa"/>
            <w:vAlign w:val="bottom"/>
          </w:tcPr>
          <w:p w:rsidR="00FD06F3" w:rsidRDefault="0054425B">
            <w:pPr>
              <w:tabs>
                <w:tab w:val="decimal" w:pos="1247"/>
              </w:tabs>
              <w:spacing w:line="238" w:lineRule="auto"/>
              <w:jc w:val="left"/>
              <w:rPr>
                <w:sz w:val="18"/>
                <w:szCs w:val="18"/>
              </w:rPr>
            </w:pPr>
            <w:r>
              <w:rPr>
                <w:sz w:val="18"/>
                <w:szCs w:val="18"/>
              </w:rPr>
              <w:t>(11 554)</w:t>
            </w:r>
          </w:p>
        </w:tc>
      </w:tr>
      <w:tr w:rsidR="00FD06F3">
        <w:trPr>
          <w:trHeight w:val="23"/>
          <w:jc w:val="center"/>
        </w:trPr>
        <w:tc>
          <w:tcPr>
            <w:tcW w:w="6236" w:type="dxa"/>
            <w:vAlign w:val="bottom"/>
          </w:tcPr>
          <w:p w:rsidR="00FD06F3" w:rsidRDefault="0054425B">
            <w:pPr>
              <w:widowControl w:val="0"/>
              <w:spacing w:line="238" w:lineRule="auto"/>
              <w:ind w:left="5" w:right="-108" w:hanging="113"/>
              <w:jc w:val="left"/>
              <w:rPr>
                <w:sz w:val="18"/>
                <w:szCs w:val="18"/>
              </w:rPr>
            </w:pPr>
            <w:r>
              <w:rPr>
                <w:sz w:val="18"/>
                <w:szCs w:val="18"/>
              </w:rPr>
              <w:t>Управленческие услуги – связанная сторона (Прим. 18.3)</w:t>
            </w:r>
          </w:p>
        </w:tc>
        <w:tc>
          <w:tcPr>
            <w:tcW w:w="1701" w:type="dxa"/>
            <w:vAlign w:val="bottom"/>
          </w:tcPr>
          <w:p w:rsidR="00FD06F3" w:rsidRDefault="0054425B">
            <w:pPr>
              <w:tabs>
                <w:tab w:val="decimal" w:pos="1247"/>
              </w:tabs>
              <w:spacing w:line="238" w:lineRule="auto"/>
              <w:jc w:val="left"/>
              <w:rPr>
                <w:sz w:val="18"/>
                <w:szCs w:val="18"/>
              </w:rPr>
            </w:pPr>
            <w:r>
              <w:rPr>
                <w:sz w:val="18"/>
                <w:szCs w:val="18"/>
              </w:rPr>
              <w:t>(196 688)</w:t>
            </w:r>
          </w:p>
        </w:tc>
        <w:tc>
          <w:tcPr>
            <w:tcW w:w="1701" w:type="dxa"/>
            <w:vAlign w:val="bottom"/>
          </w:tcPr>
          <w:p w:rsidR="00FD06F3" w:rsidRDefault="0054425B">
            <w:pPr>
              <w:tabs>
                <w:tab w:val="decimal" w:pos="1247"/>
              </w:tabs>
              <w:spacing w:line="238" w:lineRule="auto"/>
              <w:jc w:val="left"/>
              <w:rPr>
                <w:sz w:val="18"/>
                <w:szCs w:val="18"/>
              </w:rPr>
            </w:pPr>
            <w:r>
              <w:rPr>
                <w:sz w:val="18"/>
                <w:szCs w:val="18"/>
              </w:rPr>
              <w:t>(196 688)</w:t>
            </w:r>
          </w:p>
        </w:tc>
      </w:tr>
      <w:tr w:rsidR="00FD06F3">
        <w:trPr>
          <w:trHeight w:val="23"/>
          <w:jc w:val="center"/>
        </w:trPr>
        <w:tc>
          <w:tcPr>
            <w:tcW w:w="6236" w:type="dxa"/>
            <w:vAlign w:val="bottom"/>
          </w:tcPr>
          <w:p w:rsidR="00FD06F3" w:rsidRDefault="0054425B">
            <w:pPr>
              <w:widowControl w:val="0"/>
              <w:spacing w:line="238" w:lineRule="auto"/>
              <w:ind w:left="5" w:right="-108" w:hanging="113"/>
              <w:jc w:val="left"/>
              <w:rPr>
                <w:sz w:val="18"/>
                <w:szCs w:val="18"/>
              </w:rPr>
            </w:pPr>
            <w:r>
              <w:rPr>
                <w:sz w:val="18"/>
                <w:szCs w:val="18"/>
              </w:rPr>
              <w:t>Налоги, кроме налога на прибыль</w:t>
            </w:r>
          </w:p>
        </w:tc>
        <w:tc>
          <w:tcPr>
            <w:tcW w:w="1701" w:type="dxa"/>
            <w:vAlign w:val="bottom"/>
          </w:tcPr>
          <w:p w:rsidR="00FD06F3" w:rsidRDefault="0054425B">
            <w:pPr>
              <w:tabs>
                <w:tab w:val="decimal" w:pos="1247"/>
              </w:tabs>
              <w:spacing w:line="238" w:lineRule="auto"/>
              <w:jc w:val="left"/>
              <w:rPr>
                <w:sz w:val="18"/>
                <w:szCs w:val="18"/>
              </w:rPr>
            </w:pPr>
            <w:r>
              <w:rPr>
                <w:sz w:val="18"/>
                <w:szCs w:val="18"/>
              </w:rPr>
              <w:t>(41 376)</w:t>
            </w:r>
          </w:p>
        </w:tc>
        <w:tc>
          <w:tcPr>
            <w:tcW w:w="1701" w:type="dxa"/>
            <w:vAlign w:val="bottom"/>
          </w:tcPr>
          <w:p w:rsidR="00FD06F3" w:rsidRDefault="0054425B">
            <w:pPr>
              <w:tabs>
                <w:tab w:val="decimal" w:pos="1247"/>
              </w:tabs>
              <w:spacing w:line="238" w:lineRule="auto"/>
              <w:jc w:val="left"/>
              <w:rPr>
                <w:sz w:val="18"/>
                <w:szCs w:val="18"/>
              </w:rPr>
            </w:pPr>
            <w:r>
              <w:rPr>
                <w:sz w:val="18"/>
                <w:szCs w:val="18"/>
              </w:rPr>
              <w:t>(51 898)</w:t>
            </w:r>
          </w:p>
        </w:tc>
      </w:tr>
      <w:tr w:rsidR="00FD06F3">
        <w:trPr>
          <w:trHeight w:val="23"/>
          <w:jc w:val="center"/>
        </w:trPr>
        <w:tc>
          <w:tcPr>
            <w:tcW w:w="6236" w:type="dxa"/>
            <w:vAlign w:val="bottom"/>
          </w:tcPr>
          <w:p w:rsidR="00FD06F3" w:rsidRDefault="0054425B">
            <w:pPr>
              <w:widowControl w:val="0"/>
              <w:spacing w:line="238" w:lineRule="auto"/>
              <w:ind w:left="5" w:right="-108" w:hanging="113"/>
              <w:jc w:val="left"/>
              <w:rPr>
                <w:sz w:val="18"/>
                <w:szCs w:val="18"/>
              </w:rPr>
            </w:pPr>
            <w:r>
              <w:rPr>
                <w:sz w:val="18"/>
                <w:szCs w:val="18"/>
              </w:rPr>
              <w:t>Прочие расходы</w:t>
            </w:r>
          </w:p>
        </w:tc>
        <w:tc>
          <w:tcPr>
            <w:tcW w:w="1701" w:type="dxa"/>
            <w:tcBorders>
              <w:bottom w:val="single" w:sz="6" w:space="0" w:color="auto"/>
            </w:tcBorders>
            <w:vAlign w:val="bottom"/>
          </w:tcPr>
          <w:p w:rsidR="00FD06F3" w:rsidRDefault="0054425B">
            <w:pPr>
              <w:tabs>
                <w:tab w:val="decimal" w:pos="1247"/>
              </w:tabs>
              <w:spacing w:line="238" w:lineRule="auto"/>
              <w:jc w:val="left"/>
              <w:rPr>
                <w:sz w:val="18"/>
                <w:szCs w:val="18"/>
              </w:rPr>
            </w:pPr>
            <w:r>
              <w:rPr>
                <w:sz w:val="18"/>
                <w:szCs w:val="18"/>
              </w:rPr>
              <w:t>(516 041)</w:t>
            </w:r>
          </w:p>
        </w:tc>
        <w:tc>
          <w:tcPr>
            <w:tcW w:w="1701" w:type="dxa"/>
            <w:tcBorders>
              <w:bottom w:val="single" w:sz="6" w:space="0" w:color="auto"/>
            </w:tcBorders>
            <w:vAlign w:val="bottom"/>
          </w:tcPr>
          <w:p w:rsidR="00FD06F3" w:rsidRDefault="0054425B">
            <w:pPr>
              <w:tabs>
                <w:tab w:val="decimal" w:pos="1247"/>
              </w:tabs>
              <w:spacing w:line="238" w:lineRule="auto"/>
              <w:jc w:val="left"/>
              <w:rPr>
                <w:sz w:val="18"/>
                <w:szCs w:val="18"/>
              </w:rPr>
            </w:pPr>
            <w:r>
              <w:rPr>
                <w:sz w:val="18"/>
                <w:szCs w:val="18"/>
              </w:rPr>
              <w:t>(475 407)</w:t>
            </w:r>
          </w:p>
        </w:tc>
      </w:tr>
      <w:tr w:rsidR="00FD06F3">
        <w:trPr>
          <w:trHeight w:val="340"/>
          <w:jc w:val="center"/>
        </w:trPr>
        <w:tc>
          <w:tcPr>
            <w:tcW w:w="6236" w:type="dxa"/>
            <w:tcBorders>
              <w:bottom w:val="nil"/>
            </w:tcBorders>
            <w:vAlign w:val="bottom"/>
          </w:tcPr>
          <w:p w:rsidR="00FD06F3" w:rsidRDefault="00FD06F3">
            <w:pPr>
              <w:pStyle w:val="Tabletext"/>
              <w:widowControl w:val="0"/>
              <w:spacing w:line="238" w:lineRule="auto"/>
              <w:ind w:left="5" w:right="-108" w:hanging="113"/>
              <w:jc w:val="left"/>
            </w:pPr>
          </w:p>
        </w:tc>
        <w:tc>
          <w:tcPr>
            <w:tcW w:w="1701" w:type="dxa"/>
            <w:tcBorders>
              <w:top w:val="single" w:sz="6" w:space="0" w:color="auto"/>
              <w:bottom w:val="single" w:sz="12" w:space="0" w:color="auto"/>
            </w:tcBorders>
            <w:vAlign w:val="bottom"/>
          </w:tcPr>
          <w:p w:rsidR="00FD06F3" w:rsidRDefault="0054425B">
            <w:pPr>
              <w:tabs>
                <w:tab w:val="decimal" w:pos="1247"/>
              </w:tabs>
              <w:spacing w:line="238" w:lineRule="auto"/>
              <w:jc w:val="left"/>
              <w:rPr>
                <w:b/>
                <w:sz w:val="18"/>
                <w:szCs w:val="18"/>
              </w:rPr>
            </w:pPr>
            <w:r>
              <w:rPr>
                <w:b/>
                <w:sz w:val="18"/>
                <w:szCs w:val="18"/>
              </w:rPr>
              <w:t>(12 886 070)</w:t>
            </w:r>
          </w:p>
        </w:tc>
        <w:tc>
          <w:tcPr>
            <w:tcW w:w="1701" w:type="dxa"/>
            <w:tcBorders>
              <w:top w:val="single" w:sz="6" w:space="0" w:color="auto"/>
              <w:bottom w:val="single" w:sz="12" w:space="0" w:color="auto"/>
            </w:tcBorders>
            <w:vAlign w:val="bottom"/>
          </w:tcPr>
          <w:p w:rsidR="00FD06F3" w:rsidRDefault="0054425B">
            <w:pPr>
              <w:tabs>
                <w:tab w:val="decimal" w:pos="1247"/>
              </w:tabs>
              <w:spacing w:line="238" w:lineRule="auto"/>
              <w:jc w:val="left"/>
              <w:rPr>
                <w:b/>
                <w:sz w:val="18"/>
                <w:szCs w:val="18"/>
              </w:rPr>
            </w:pPr>
            <w:r>
              <w:rPr>
                <w:b/>
                <w:sz w:val="18"/>
                <w:szCs w:val="18"/>
              </w:rPr>
              <w:t>(14 498 636)</w:t>
            </w:r>
          </w:p>
        </w:tc>
      </w:tr>
    </w:tbl>
    <w:p w:rsidR="00FD06F3" w:rsidRDefault="00FD06F3">
      <w:pPr>
        <w:widowControl w:val="0"/>
        <w:rPr>
          <w:sz w:val="18"/>
          <w:szCs w:val="18"/>
        </w:rPr>
      </w:pPr>
    </w:p>
    <w:p w:rsidR="00FD06F3" w:rsidRDefault="00FD06F3">
      <w:pPr>
        <w:widowControl w:val="0"/>
        <w:rPr>
          <w:sz w:val="18"/>
          <w:szCs w:val="18"/>
        </w:rPr>
      </w:pPr>
    </w:p>
    <w:p w:rsidR="00FD06F3" w:rsidRDefault="0054425B">
      <w:pPr>
        <w:pStyle w:val="12"/>
      </w:pPr>
      <w:bookmarkStart w:id="129" w:name="_Toc387743864"/>
      <w:bookmarkStart w:id="130" w:name="_Toc387743941"/>
      <w:bookmarkStart w:id="131" w:name="_Toc512452529"/>
      <w:r>
        <w:t>16.</w:t>
      </w:r>
      <w:r>
        <w:tab/>
        <w:t xml:space="preserve">Прочие операционные </w:t>
      </w:r>
      <w:r>
        <w:t>расходы, нетто</w:t>
      </w:r>
      <w:bookmarkEnd w:id="129"/>
      <w:bookmarkEnd w:id="130"/>
      <w:bookmarkEnd w:id="131"/>
      <w:r>
        <w:t xml:space="preserve"> </w:t>
      </w:r>
    </w:p>
    <w:p w:rsidR="00FD06F3" w:rsidRDefault="00FD06F3">
      <w:pPr>
        <w:widowControl w:val="0"/>
        <w:rPr>
          <w:sz w:val="18"/>
          <w:szCs w:val="18"/>
        </w:rPr>
      </w:pPr>
    </w:p>
    <w:p w:rsidR="00FD06F3" w:rsidRDefault="0054425B">
      <w:pPr>
        <w:widowControl w:val="0"/>
      </w:pPr>
      <w:r>
        <w:t>Структура прочих операционных расходов и доходов Группы представлена следующим образом:</w:t>
      </w:r>
    </w:p>
    <w:p w:rsidR="00FD06F3" w:rsidRDefault="00FD06F3">
      <w:pPr>
        <w:widowControl w:val="0"/>
        <w:rPr>
          <w:sz w:val="16"/>
          <w:szCs w:val="18"/>
        </w:rPr>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pStyle w:val="ABCFootnote"/>
              <w:widowControl w:val="0"/>
              <w:spacing w:line="238" w:lineRule="auto"/>
              <w:ind w:left="5" w:right="-108" w:hanging="113"/>
              <w:jc w:val="left"/>
            </w:pPr>
          </w:p>
        </w:tc>
        <w:tc>
          <w:tcPr>
            <w:tcW w:w="1701" w:type="dxa"/>
            <w:tcBorders>
              <w:bottom w:val="single" w:sz="6" w:space="0" w:color="000000"/>
            </w:tcBorders>
            <w:vAlign w:val="bottom"/>
          </w:tcPr>
          <w:p w:rsidR="00FD06F3" w:rsidRDefault="0054425B">
            <w:pPr>
              <w:widowControl w:val="0"/>
              <w:spacing w:line="238" w:lineRule="auto"/>
              <w:ind w:left="-108" w:right="-108"/>
              <w:jc w:val="center"/>
              <w:rPr>
                <w:b/>
                <w:bCs/>
                <w:sz w:val="18"/>
                <w:szCs w:val="18"/>
              </w:rPr>
            </w:pPr>
            <w:r>
              <w:rPr>
                <w:b/>
                <w:bCs/>
                <w:sz w:val="18"/>
                <w:szCs w:val="18"/>
              </w:rPr>
              <w:t>2017 г.</w:t>
            </w:r>
          </w:p>
        </w:tc>
        <w:tc>
          <w:tcPr>
            <w:tcW w:w="1701" w:type="dxa"/>
            <w:tcBorders>
              <w:bottom w:val="single" w:sz="6" w:space="0" w:color="000000"/>
            </w:tcBorders>
            <w:vAlign w:val="bottom"/>
          </w:tcPr>
          <w:p w:rsidR="00FD06F3" w:rsidRDefault="0054425B">
            <w:pPr>
              <w:widowControl w:val="0"/>
              <w:spacing w:line="238" w:lineRule="auto"/>
              <w:ind w:left="-108" w:right="-108"/>
              <w:jc w:val="center"/>
              <w:rPr>
                <w:b/>
                <w:bCs/>
                <w:sz w:val="18"/>
                <w:szCs w:val="18"/>
              </w:rPr>
            </w:pPr>
            <w:r>
              <w:rPr>
                <w:b/>
                <w:bCs/>
                <w:sz w:val="18"/>
                <w:szCs w:val="18"/>
              </w:rPr>
              <w:t>2016 г.</w:t>
            </w:r>
          </w:p>
        </w:tc>
      </w:tr>
      <w:tr w:rsidR="00FD06F3">
        <w:trPr>
          <w:trHeight w:val="23"/>
          <w:jc w:val="center"/>
        </w:trPr>
        <w:tc>
          <w:tcPr>
            <w:tcW w:w="6236" w:type="dxa"/>
            <w:vAlign w:val="bottom"/>
          </w:tcPr>
          <w:p w:rsidR="00FD06F3" w:rsidRDefault="0054425B">
            <w:pPr>
              <w:widowControl w:val="0"/>
              <w:spacing w:line="238" w:lineRule="auto"/>
              <w:ind w:left="5" w:right="-108" w:hanging="113"/>
              <w:jc w:val="left"/>
              <w:rPr>
                <w:sz w:val="18"/>
                <w:szCs w:val="18"/>
              </w:rPr>
            </w:pPr>
            <w:bookmarkStart w:id="132" w:name="OLE_LINK1"/>
            <w:r>
              <w:rPr>
                <w:sz w:val="18"/>
                <w:szCs w:val="18"/>
              </w:rPr>
              <w:t xml:space="preserve">Убыток от изменения резерва под обесценение торговой дебиторской задолженности и предоплаты, нетто </w:t>
            </w:r>
            <w:bookmarkEnd w:id="132"/>
            <w:r>
              <w:rPr>
                <w:sz w:val="18"/>
                <w:szCs w:val="18"/>
              </w:rPr>
              <w:t>(Прим. 8)</w:t>
            </w:r>
          </w:p>
        </w:tc>
        <w:tc>
          <w:tcPr>
            <w:tcW w:w="1701" w:type="dxa"/>
            <w:vAlign w:val="bottom"/>
          </w:tcPr>
          <w:p w:rsidR="00FD06F3" w:rsidRDefault="0054425B">
            <w:pPr>
              <w:widowControl w:val="0"/>
              <w:tabs>
                <w:tab w:val="decimal" w:pos="1247"/>
              </w:tabs>
              <w:spacing w:line="238" w:lineRule="auto"/>
              <w:jc w:val="left"/>
              <w:rPr>
                <w:sz w:val="18"/>
                <w:szCs w:val="18"/>
              </w:rPr>
            </w:pPr>
            <w:r>
              <w:rPr>
                <w:sz w:val="18"/>
                <w:szCs w:val="18"/>
              </w:rPr>
              <w:t>(22 839)</w:t>
            </w:r>
          </w:p>
        </w:tc>
        <w:tc>
          <w:tcPr>
            <w:tcW w:w="1701" w:type="dxa"/>
            <w:vAlign w:val="bottom"/>
          </w:tcPr>
          <w:p w:rsidR="00FD06F3" w:rsidRDefault="0054425B">
            <w:pPr>
              <w:widowControl w:val="0"/>
              <w:tabs>
                <w:tab w:val="decimal" w:pos="1247"/>
              </w:tabs>
              <w:spacing w:line="238" w:lineRule="auto"/>
              <w:jc w:val="left"/>
              <w:rPr>
                <w:sz w:val="18"/>
                <w:szCs w:val="18"/>
              </w:rPr>
            </w:pPr>
            <w:r>
              <w:rPr>
                <w:sz w:val="18"/>
                <w:szCs w:val="18"/>
              </w:rPr>
              <w:t>(61 208)</w:t>
            </w:r>
          </w:p>
        </w:tc>
      </w:tr>
      <w:tr w:rsidR="00FD06F3">
        <w:trPr>
          <w:trHeight w:val="23"/>
          <w:jc w:val="center"/>
        </w:trPr>
        <w:tc>
          <w:tcPr>
            <w:tcW w:w="6236" w:type="dxa"/>
            <w:vAlign w:val="bottom"/>
          </w:tcPr>
          <w:p w:rsidR="00FD06F3" w:rsidRDefault="0054425B">
            <w:pPr>
              <w:widowControl w:val="0"/>
              <w:spacing w:line="238" w:lineRule="auto"/>
              <w:ind w:left="5" w:right="-108" w:hanging="113"/>
              <w:jc w:val="left"/>
              <w:rPr>
                <w:sz w:val="18"/>
                <w:szCs w:val="18"/>
              </w:rPr>
            </w:pPr>
            <w:r>
              <w:rPr>
                <w:sz w:val="18"/>
                <w:szCs w:val="18"/>
              </w:rPr>
              <w:t>Убыток от выбытия основных средств</w:t>
            </w:r>
          </w:p>
        </w:tc>
        <w:tc>
          <w:tcPr>
            <w:tcW w:w="1701" w:type="dxa"/>
            <w:vAlign w:val="bottom"/>
          </w:tcPr>
          <w:p w:rsidR="00FD06F3" w:rsidRDefault="0054425B">
            <w:pPr>
              <w:widowControl w:val="0"/>
              <w:tabs>
                <w:tab w:val="decimal" w:pos="1247"/>
              </w:tabs>
              <w:spacing w:line="238" w:lineRule="auto"/>
              <w:jc w:val="left"/>
              <w:rPr>
                <w:sz w:val="18"/>
                <w:szCs w:val="18"/>
              </w:rPr>
            </w:pPr>
            <w:r>
              <w:rPr>
                <w:sz w:val="18"/>
                <w:szCs w:val="18"/>
              </w:rPr>
              <w:t>(5 416)</w:t>
            </w:r>
          </w:p>
        </w:tc>
        <w:tc>
          <w:tcPr>
            <w:tcW w:w="1701" w:type="dxa"/>
            <w:vAlign w:val="bottom"/>
          </w:tcPr>
          <w:p w:rsidR="00FD06F3" w:rsidRDefault="0054425B">
            <w:pPr>
              <w:widowControl w:val="0"/>
              <w:tabs>
                <w:tab w:val="decimal" w:pos="1247"/>
              </w:tabs>
              <w:spacing w:line="238" w:lineRule="auto"/>
              <w:jc w:val="left"/>
              <w:rPr>
                <w:sz w:val="18"/>
                <w:szCs w:val="18"/>
              </w:rPr>
            </w:pPr>
            <w:r>
              <w:rPr>
                <w:sz w:val="18"/>
                <w:szCs w:val="18"/>
              </w:rPr>
              <w:t>(15 085)</w:t>
            </w:r>
          </w:p>
        </w:tc>
      </w:tr>
      <w:tr w:rsidR="00FD06F3">
        <w:trPr>
          <w:trHeight w:val="23"/>
          <w:jc w:val="center"/>
        </w:trPr>
        <w:tc>
          <w:tcPr>
            <w:tcW w:w="6236" w:type="dxa"/>
            <w:vAlign w:val="bottom"/>
          </w:tcPr>
          <w:p w:rsidR="00FD06F3" w:rsidRDefault="0054425B">
            <w:pPr>
              <w:widowControl w:val="0"/>
              <w:spacing w:line="238" w:lineRule="auto"/>
              <w:ind w:left="5" w:right="-108" w:hanging="113"/>
              <w:jc w:val="left"/>
              <w:rPr>
                <w:sz w:val="18"/>
                <w:szCs w:val="18"/>
              </w:rPr>
            </w:pPr>
            <w:r>
              <w:rPr>
                <w:sz w:val="18"/>
                <w:szCs w:val="18"/>
              </w:rPr>
              <w:t>Прибыль/(убыток) от выбытия нематериальных активов</w:t>
            </w:r>
          </w:p>
        </w:tc>
        <w:tc>
          <w:tcPr>
            <w:tcW w:w="1701" w:type="dxa"/>
            <w:vAlign w:val="bottom"/>
          </w:tcPr>
          <w:p w:rsidR="00FD06F3" w:rsidRDefault="0054425B">
            <w:pPr>
              <w:widowControl w:val="0"/>
              <w:tabs>
                <w:tab w:val="decimal" w:pos="1247"/>
              </w:tabs>
              <w:spacing w:line="238" w:lineRule="auto"/>
              <w:jc w:val="left"/>
              <w:rPr>
                <w:sz w:val="18"/>
                <w:szCs w:val="18"/>
              </w:rPr>
            </w:pPr>
            <w:r>
              <w:rPr>
                <w:sz w:val="18"/>
                <w:szCs w:val="18"/>
              </w:rPr>
              <w:t>8 338</w:t>
            </w:r>
          </w:p>
        </w:tc>
        <w:tc>
          <w:tcPr>
            <w:tcW w:w="1701" w:type="dxa"/>
            <w:vAlign w:val="bottom"/>
          </w:tcPr>
          <w:p w:rsidR="00FD06F3" w:rsidRDefault="0054425B">
            <w:pPr>
              <w:widowControl w:val="0"/>
              <w:tabs>
                <w:tab w:val="decimal" w:pos="1247"/>
              </w:tabs>
              <w:spacing w:line="238" w:lineRule="auto"/>
              <w:jc w:val="left"/>
              <w:rPr>
                <w:sz w:val="18"/>
                <w:szCs w:val="18"/>
              </w:rPr>
            </w:pPr>
            <w:r>
              <w:rPr>
                <w:sz w:val="18"/>
                <w:szCs w:val="18"/>
              </w:rPr>
              <w:t>(2 832)</w:t>
            </w:r>
          </w:p>
        </w:tc>
      </w:tr>
      <w:tr w:rsidR="00FD06F3">
        <w:trPr>
          <w:trHeight w:val="23"/>
          <w:jc w:val="center"/>
        </w:trPr>
        <w:tc>
          <w:tcPr>
            <w:tcW w:w="6236" w:type="dxa"/>
            <w:vAlign w:val="bottom"/>
          </w:tcPr>
          <w:p w:rsidR="00FD06F3" w:rsidRDefault="0054425B">
            <w:pPr>
              <w:widowControl w:val="0"/>
              <w:spacing w:line="238" w:lineRule="auto"/>
              <w:ind w:left="5" w:right="-108" w:hanging="113"/>
              <w:jc w:val="left"/>
              <w:rPr>
                <w:sz w:val="18"/>
                <w:szCs w:val="18"/>
              </w:rPr>
            </w:pPr>
            <w:r>
              <w:rPr>
                <w:sz w:val="18"/>
                <w:szCs w:val="18"/>
              </w:rPr>
              <w:t>Списание исследований, не давших результата</w:t>
            </w:r>
          </w:p>
        </w:tc>
        <w:tc>
          <w:tcPr>
            <w:tcW w:w="1701" w:type="dxa"/>
            <w:vAlign w:val="bottom"/>
          </w:tcPr>
          <w:p w:rsidR="00FD06F3" w:rsidRDefault="0054425B">
            <w:pPr>
              <w:widowControl w:val="0"/>
              <w:tabs>
                <w:tab w:val="decimal" w:pos="1247"/>
              </w:tabs>
              <w:spacing w:line="238" w:lineRule="auto"/>
              <w:jc w:val="left"/>
              <w:rPr>
                <w:sz w:val="18"/>
                <w:szCs w:val="18"/>
              </w:rPr>
            </w:pPr>
            <w:r>
              <w:rPr>
                <w:sz w:val="18"/>
                <w:szCs w:val="18"/>
              </w:rPr>
              <w:t>–</w:t>
            </w:r>
          </w:p>
        </w:tc>
        <w:tc>
          <w:tcPr>
            <w:tcW w:w="1701" w:type="dxa"/>
            <w:vAlign w:val="bottom"/>
          </w:tcPr>
          <w:p w:rsidR="00FD06F3" w:rsidRDefault="0054425B">
            <w:pPr>
              <w:widowControl w:val="0"/>
              <w:tabs>
                <w:tab w:val="decimal" w:pos="1247"/>
              </w:tabs>
              <w:spacing w:line="238" w:lineRule="auto"/>
              <w:jc w:val="left"/>
              <w:rPr>
                <w:sz w:val="18"/>
                <w:szCs w:val="18"/>
              </w:rPr>
            </w:pPr>
            <w:r>
              <w:rPr>
                <w:sz w:val="18"/>
                <w:szCs w:val="18"/>
              </w:rPr>
              <w:t>(50 200)</w:t>
            </w:r>
          </w:p>
        </w:tc>
      </w:tr>
      <w:tr w:rsidR="00FD06F3">
        <w:trPr>
          <w:trHeight w:val="23"/>
          <w:jc w:val="center"/>
        </w:trPr>
        <w:tc>
          <w:tcPr>
            <w:tcW w:w="6236" w:type="dxa"/>
            <w:vAlign w:val="bottom"/>
          </w:tcPr>
          <w:p w:rsidR="00FD06F3" w:rsidRDefault="0054425B">
            <w:pPr>
              <w:widowControl w:val="0"/>
              <w:spacing w:line="238" w:lineRule="auto"/>
              <w:ind w:left="5" w:right="-108" w:hanging="113"/>
              <w:jc w:val="left"/>
              <w:rPr>
                <w:sz w:val="18"/>
                <w:szCs w:val="18"/>
              </w:rPr>
            </w:pPr>
            <w:r>
              <w:rPr>
                <w:sz w:val="18"/>
                <w:szCs w:val="18"/>
              </w:rPr>
              <w:t>Убыток от передачи готовой продукции связанной стороне (Прим. 18.10)</w:t>
            </w:r>
          </w:p>
        </w:tc>
        <w:tc>
          <w:tcPr>
            <w:tcW w:w="1701" w:type="dxa"/>
            <w:vAlign w:val="bottom"/>
          </w:tcPr>
          <w:p w:rsidR="00FD06F3" w:rsidRDefault="0054425B">
            <w:pPr>
              <w:widowControl w:val="0"/>
              <w:tabs>
                <w:tab w:val="decimal" w:pos="1247"/>
              </w:tabs>
              <w:spacing w:line="238" w:lineRule="auto"/>
              <w:jc w:val="left"/>
              <w:rPr>
                <w:sz w:val="18"/>
                <w:szCs w:val="18"/>
              </w:rPr>
            </w:pPr>
            <w:r>
              <w:rPr>
                <w:sz w:val="18"/>
                <w:szCs w:val="18"/>
              </w:rPr>
              <w:t>(19 488)</w:t>
            </w:r>
          </w:p>
        </w:tc>
        <w:tc>
          <w:tcPr>
            <w:tcW w:w="1701" w:type="dxa"/>
            <w:vAlign w:val="bottom"/>
          </w:tcPr>
          <w:p w:rsidR="00FD06F3" w:rsidRDefault="0054425B">
            <w:pPr>
              <w:widowControl w:val="0"/>
              <w:tabs>
                <w:tab w:val="decimal" w:pos="1247"/>
              </w:tabs>
              <w:spacing w:line="238" w:lineRule="auto"/>
              <w:jc w:val="left"/>
              <w:rPr>
                <w:sz w:val="18"/>
                <w:szCs w:val="18"/>
              </w:rPr>
            </w:pPr>
            <w:r>
              <w:rPr>
                <w:sz w:val="18"/>
                <w:szCs w:val="18"/>
              </w:rPr>
              <w:t>(26 618)</w:t>
            </w:r>
          </w:p>
        </w:tc>
      </w:tr>
      <w:tr w:rsidR="00FD06F3">
        <w:trPr>
          <w:trHeight w:val="23"/>
          <w:jc w:val="center"/>
        </w:trPr>
        <w:tc>
          <w:tcPr>
            <w:tcW w:w="6236" w:type="dxa"/>
            <w:vAlign w:val="bottom"/>
          </w:tcPr>
          <w:p w:rsidR="00FD06F3" w:rsidRDefault="0054425B">
            <w:pPr>
              <w:widowControl w:val="0"/>
              <w:spacing w:line="238" w:lineRule="auto"/>
              <w:ind w:left="5" w:right="-108" w:hanging="113"/>
              <w:jc w:val="left"/>
              <w:rPr>
                <w:sz w:val="18"/>
                <w:szCs w:val="18"/>
              </w:rPr>
            </w:pPr>
            <w:r>
              <w:rPr>
                <w:sz w:val="18"/>
                <w:szCs w:val="18"/>
              </w:rPr>
              <w:t>Расходы на благотворительность</w:t>
            </w:r>
          </w:p>
        </w:tc>
        <w:tc>
          <w:tcPr>
            <w:tcW w:w="1701" w:type="dxa"/>
            <w:vAlign w:val="bottom"/>
          </w:tcPr>
          <w:p w:rsidR="00FD06F3" w:rsidRDefault="0054425B">
            <w:pPr>
              <w:widowControl w:val="0"/>
              <w:tabs>
                <w:tab w:val="decimal" w:pos="1247"/>
              </w:tabs>
              <w:spacing w:line="238" w:lineRule="auto"/>
              <w:jc w:val="left"/>
              <w:rPr>
                <w:sz w:val="18"/>
                <w:szCs w:val="18"/>
                <w:highlight w:val="yellow"/>
              </w:rPr>
            </w:pPr>
            <w:r>
              <w:rPr>
                <w:sz w:val="18"/>
                <w:szCs w:val="18"/>
              </w:rPr>
              <w:t>(530)</w:t>
            </w:r>
          </w:p>
        </w:tc>
        <w:tc>
          <w:tcPr>
            <w:tcW w:w="1701" w:type="dxa"/>
            <w:vAlign w:val="bottom"/>
          </w:tcPr>
          <w:p w:rsidR="00FD06F3" w:rsidRDefault="0054425B">
            <w:pPr>
              <w:widowControl w:val="0"/>
              <w:tabs>
                <w:tab w:val="decimal" w:pos="1247"/>
              </w:tabs>
              <w:spacing w:line="238" w:lineRule="auto"/>
              <w:jc w:val="left"/>
              <w:rPr>
                <w:sz w:val="18"/>
                <w:szCs w:val="18"/>
                <w:highlight w:val="yellow"/>
              </w:rPr>
            </w:pPr>
            <w:r>
              <w:rPr>
                <w:sz w:val="18"/>
                <w:szCs w:val="18"/>
              </w:rPr>
              <w:t>(3 037)</w:t>
            </w:r>
          </w:p>
        </w:tc>
      </w:tr>
      <w:tr w:rsidR="00FD06F3">
        <w:trPr>
          <w:trHeight w:val="23"/>
          <w:jc w:val="center"/>
        </w:trPr>
        <w:tc>
          <w:tcPr>
            <w:tcW w:w="6236" w:type="dxa"/>
            <w:vAlign w:val="bottom"/>
          </w:tcPr>
          <w:p w:rsidR="00FD06F3" w:rsidRDefault="0054425B">
            <w:pPr>
              <w:widowControl w:val="0"/>
              <w:spacing w:line="238" w:lineRule="auto"/>
              <w:ind w:left="5" w:right="-108" w:hanging="113"/>
              <w:jc w:val="left"/>
              <w:rPr>
                <w:sz w:val="18"/>
                <w:szCs w:val="18"/>
              </w:rPr>
            </w:pPr>
            <w:r>
              <w:rPr>
                <w:sz w:val="18"/>
                <w:szCs w:val="18"/>
              </w:rPr>
              <w:t>Компенсация, полученная за незаконное использование торговых марок</w:t>
            </w:r>
          </w:p>
        </w:tc>
        <w:tc>
          <w:tcPr>
            <w:tcW w:w="1701" w:type="dxa"/>
            <w:vAlign w:val="bottom"/>
          </w:tcPr>
          <w:p w:rsidR="00FD06F3" w:rsidRDefault="0054425B">
            <w:pPr>
              <w:widowControl w:val="0"/>
              <w:tabs>
                <w:tab w:val="decimal" w:pos="1247"/>
              </w:tabs>
              <w:spacing w:line="238" w:lineRule="auto"/>
              <w:jc w:val="left"/>
              <w:rPr>
                <w:sz w:val="18"/>
                <w:szCs w:val="18"/>
              </w:rPr>
            </w:pPr>
            <w:r>
              <w:rPr>
                <w:sz w:val="18"/>
                <w:szCs w:val="18"/>
              </w:rPr>
              <w:t>4 766</w:t>
            </w:r>
          </w:p>
        </w:tc>
        <w:tc>
          <w:tcPr>
            <w:tcW w:w="1701" w:type="dxa"/>
            <w:vAlign w:val="bottom"/>
          </w:tcPr>
          <w:p w:rsidR="00FD06F3" w:rsidRDefault="0054425B">
            <w:pPr>
              <w:widowControl w:val="0"/>
              <w:tabs>
                <w:tab w:val="decimal" w:pos="1247"/>
              </w:tabs>
              <w:spacing w:line="238" w:lineRule="auto"/>
              <w:jc w:val="left"/>
              <w:rPr>
                <w:sz w:val="18"/>
                <w:szCs w:val="18"/>
              </w:rPr>
            </w:pPr>
            <w:r>
              <w:rPr>
                <w:sz w:val="18"/>
                <w:szCs w:val="18"/>
              </w:rPr>
              <w:t>4 882</w:t>
            </w:r>
          </w:p>
        </w:tc>
      </w:tr>
      <w:tr w:rsidR="00FD06F3">
        <w:trPr>
          <w:trHeight w:val="23"/>
          <w:jc w:val="center"/>
        </w:trPr>
        <w:tc>
          <w:tcPr>
            <w:tcW w:w="6236" w:type="dxa"/>
            <w:vAlign w:val="bottom"/>
          </w:tcPr>
          <w:p w:rsidR="00FD06F3" w:rsidRDefault="0054425B">
            <w:pPr>
              <w:widowControl w:val="0"/>
              <w:spacing w:line="238" w:lineRule="auto"/>
              <w:ind w:left="5" w:right="-108" w:hanging="113"/>
              <w:jc w:val="left"/>
              <w:rPr>
                <w:sz w:val="18"/>
                <w:szCs w:val="18"/>
              </w:rPr>
            </w:pPr>
            <w:r>
              <w:rPr>
                <w:sz w:val="18"/>
                <w:szCs w:val="18"/>
              </w:rPr>
              <w:t>Прочие расходы</w:t>
            </w:r>
          </w:p>
        </w:tc>
        <w:tc>
          <w:tcPr>
            <w:tcW w:w="1701" w:type="dxa"/>
            <w:tcBorders>
              <w:bottom w:val="single" w:sz="6" w:space="0" w:color="000000"/>
            </w:tcBorders>
            <w:vAlign w:val="bottom"/>
          </w:tcPr>
          <w:p w:rsidR="00FD06F3" w:rsidRDefault="0054425B">
            <w:pPr>
              <w:widowControl w:val="0"/>
              <w:tabs>
                <w:tab w:val="decimal" w:pos="1247"/>
              </w:tabs>
              <w:spacing w:line="238" w:lineRule="auto"/>
              <w:jc w:val="left"/>
              <w:rPr>
                <w:sz w:val="18"/>
                <w:szCs w:val="18"/>
              </w:rPr>
            </w:pPr>
            <w:r>
              <w:rPr>
                <w:sz w:val="18"/>
                <w:szCs w:val="18"/>
              </w:rPr>
              <w:t>(44 378)</w:t>
            </w:r>
          </w:p>
        </w:tc>
        <w:tc>
          <w:tcPr>
            <w:tcW w:w="1701" w:type="dxa"/>
            <w:tcBorders>
              <w:bottom w:val="single" w:sz="6" w:space="0" w:color="000000"/>
            </w:tcBorders>
            <w:vAlign w:val="bottom"/>
          </w:tcPr>
          <w:p w:rsidR="00FD06F3" w:rsidRDefault="0054425B">
            <w:pPr>
              <w:widowControl w:val="0"/>
              <w:tabs>
                <w:tab w:val="decimal" w:pos="1247"/>
              </w:tabs>
              <w:spacing w:line="238" w:lineRule="auto"/>
              <w:jc w:val="left"/>
              <w:rPr>
                <w:sz w:val="18"/>
                <w:szCs w:val="18"/>
              </w:rPr>
            </w:pPr>
            <w:r>
              <w:rPr>
                <w:sz w:val="18"/>
                <w:szCs w:val="18"/>
              </w:rPr>
              <w:t>(11 255)</w:t>
            </w:r>
          </w:p>
        </w:tc>
      </w:tr>
      <w:tr w:rsidR="00FD06F3">
        <w:trPr>
          <w:trHeight w:val="340"/>
          <w:jc w:val="center"/>
        </w:trPr>
        <w:tc>
          <w:tcPr>
            <w:tcW w:w="6236" w:type="dxa"/>
            <w:vAlign w:val="bottom"/>
          </w:tcPr>
          <w:p w:rsidR="00FD06F3" w:rsidRDefault="00FD06F3">
            <w:pPr>
              <w:pStyle w:val="ABCFootnote"/>
              <w:widowControl w:val="0"/>
              <w:spacing w:line="238" w:lineRule="auto"/>
              <w:ind w:left="5" w:right="-108" w:hanging="113"/>
              <w:jc w:val="left"/>
            </w:pPr>
          </w:p>
        </w:tc>
        <w:tc>
          <w:tcPr>
            <w:tcW w:w="1701" w:type="dxa"/>
            <w:tcBorders>
              <w:top w:val="single" w:sz="6" w:space="0" w:color="auto"/>
              <w:bottom w:val="single" w:sz="12" w:space="0" w:color="auto"/>
            </w:tcBorders>
            <w:vAlign w:val="bottom"/>
          </w:tcPr>
          <w:p w:rsidR="00FD06F3" w:rsidRDefault="0054425B">
            <w:pPr>
              <w:widowControl w:val="0"/>
              <w:tabs>
                <w:tab w:val="decimal" w:pos="1247"/>
              </w:tabs>
              <w:spacing w:line="238" w:lineRule="auto"/>
              <w:jc w:val="left"/>
              <w:rPr>
                <w:b/>
                <w:sz w:val="18"/>
                <w:szCs w:val="18"/>
              </w:rPr>
            </w:pPr>
            <w:r>
              <w:rPr>
                <w:b/>
                <w:sz w:val="18"/>
                <w:szCs w:val="18"/>
              </w:rPr>
              <w:t>(79 547)</w:t>
            </w:r>
          </w:p>
        </w:tc>
        <w:tc>
          <w:tcPr>
            <w:tcW w:w="1701" w:type="dxa"/>
            <w:tcBorders>
              <w:top w:val="single" w:sz="6" w:space="0" w:color="auto"/>
              <w:bottom w:val="single" w:sz="12" w:space="0" w:color="auto"/>
            </w:tcBorders>
            <w:vAlign w:val="bottom"/>
          </w:tcPr>
          <w:p w:rsidR="00FD06F3" w:rsidRDefault="0054425B">
            <w:pPr>
              <w:widowControl w:val="0"/>
              <w:tabs>
                <w:tab w:val="decimal" w:pos="1247"/>
              </w:tabs>
              <w:spacing w:line="238" w:lineRule="auto"/>
              <w:jc w:val="left"/>
              <w:rPr>
                <w:b/>
                <w:sz w:val="18"/>
                <w:szCs w:val="18"/>
              </w:rPr>
            </w:pPr>
            <w:r>
              <w:rPr>
                <w:b/>
                <w:sz w:val="18"/>
                <w:szCs w:val="18"/>
              </w:rPr>
              <w:t>(165 353)</w:t>
            </w:r>
          </w:p>
        </w:tc>
      </w:tr>
    </w:tbl>
    <w:p w:rsidR="00FD06F3" w:rsidRDefault="00FD06F3">
      <w:pPr>
        <w:rPr>
          <w:sz w:val="18"/>
          <w:szCs w:val="18"/>
        </w:rPr>
      </w:pPr>
    </w:p>
    <w:p w:rsidR="00FD06F3" w:rsidRDefault="00FD06F3">
      <w:pPr>
        <w:rPr>
          <w:sz w:val="18"/>
          <w:szCs w:val="18"/>
        </w:rPr>
      </w:pPr>
      <w:bookmarkStart w:id="133" w:name="_Toc387743865"/>
      <w:bookmarkStart w:id="134" w:name="_Toc387743942"/>
      <w:bookmarkStart w:id="135" w:name="_Toc354762894"/>
      <w:bookmarkStart w:id="136" w:name="_Toc356225099"/>
    </w:p>
    <w:p w:rsidR="00FD06F3" w:rsidRDefault="0054425B">
      <w:pPr>
        <w:pStyle w:val="12"/>
      </w:pPr>
      <w:bookmarkStart w:id="137" w:name="_Toc512452530"/>
      <w:r>
        <w:t>17.</w:t>
      </w:r>
      <w:r>
        <w:tab/>
        <w:t xml:space="preserve">Финансовые </w:t>
      </w:r>
      <w:r>
        <w:rPr>
          <w:rFonts w:ascii="Times New Roman Bold" w:hAnsi="Times New Roman Bold"/>
        </w:rPr>
        <w:t>доходы</w:t>
      </w:r>
      <w:r>
        <w:t>, нетто</w:t>
      </w:r>
      <w:bookmarkEnd w:id="133"/>
      <w:bookmarkEnd w:id="134"/>
      <w:bookmarkEnd w:id="135"/>
      <w:bookmarkEnd w:id="136"/>
      <w:bookmarkEnd w:id="137"/>
    </w:p>
    <w:p w:rsidR="00FD06F3" w:rsidRDefault="00FD06F3">
      <w:pPr>
        <w:widowControl w:val="0"/>
        <w:rPr>
          <w:sz w:val="16"/>
          <w:szCs w:val="18"/>
        </w:rPr>
      </w:pPr>
    </w:p>
    <w:p w:rsidR="00FD06F3" w:rsidRDefault="0054425B">
      <w:pPr>
        <w:widowControl w:val="0"/>
      </w:pPr>
      <w:r>
        <w:t xml:space="preserve">Структура финансовых расходов и </w:t>
      </w:r>
      <w:r>
        <w:t>доходов Группы представлена следующим образом:</w:t>
      </w:r>
    </w:p>
    <w:p w:rsidR="00FD06F3" w:rsidRDefault="00FD06F3">
      <w:pPr>
        <w:widowControl w:val="0"/>
        <w:rPr>
          <w:sz w:val="16"/>
          <w:szCs w:val="18"/>
        </w:rPr>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tcBorders>
              <w:top w:val="nil"/>
              <w:left w:val="nil"/>
              <w:right w:val="nil"/>
            </w:tcBorders>
            <w:vAlign w:val="bottom"/>
          </w:tcPr>
          <w:p w:rsidR="00FD06F3" w:rsidRDefault="00FD06F3">
            <w:pPr>
              <w:pStyle w:val="Tabletext"/>
              <w:widowControl w:val="0"/>
              <w:spacing w:line="238" w:lineRule="auto"/>
              <w:ind w:left="5" w:right="-108" w:hanging="113"/>
              <w:jc w:val="left"/>
            </w:pPr>
          </w:p>
        </w:tc>
        <w:tc>
          <w:tcPr>
            <w:tcW w:w="1701" w:type="dxa"/>
            <w:tcBorders>
              <w:top w:val="nil"/>
              <w:left w:val="nil"/>
              <w:bottom w:val="single" w:sz="6" w:space="0" w:color="000000"/>
              <w:right w:val="nil"/>
            </w:tcBorders>
            <w:vAlign w:val="bottom"/>
          </w:tcPr>
          <w:p w:rsidR="00FD06F3" w:rsidRDefault="0054425B">
            <w:pPr>
              <w:pStyle w:val="Tabletext"/>
              <w:widowControl w:val="0"/>
              <w:spacing w:line="238" w:lineRule="auto"/>
              <w:ind w:left="-108" w:right="-108"/>
              <w:jc w:val="center"/>
              <w:rPr>
                <w:b/>
                <w:bCs/>
              </w:rPr>
            </w:pPr>
            <w:r>
              <w:rPr>
                <w:b/>
                <w:bCs/>
              </w:rPr>
              <w:t>2017 г.</w:t>
            </w:r>
          </w:p>
        </w:tc>
        <w:tc>
          <w:tcPr>
            <w:tcW w:w="1701" w:type="dxa"/>
            <w:tcBorders>
              <w:top w:val="nil"/>
              <w:left w:val="nil"/>
              <w:bottom w:val="single" w:sz="6" w:space="0" w:color="000000"/>
              <w:right w:val="nil"/>
            </w:tcBorders>
            <w:vAlign w:val="bottom"/>
          </w:tcPr>
          <w:p w:rsidR="00FD06F3" w:rsidRDefault="0054425B">
            <w:pPr>
              <w:pStyle w:val="Tabletext"/>
              <w:widowControl w:val="0"/>
              <w:spacing w:line="238" w:lineRule="auto"/>
              <w:ind w:left="-108" w:right="-108"/>
              <w:jc w:val="center"/>
              <w:rPr>
                <w:b/>
                <w:bCs/>
              </w:rPr>
            </w:pPr>
            <w:r>
              <w:rPr>
                <w:b/>
                <w:bCs/>
              </w:rPr>
              <w:t>2016 г.</w:t>
            </w:r>
          </w:p>
        </w:tc>
      </w:tr>
      <w:tr w:rsidR="00FD06F3">
        <w:trPr>
          <w:trHeight w:val="23"/>
          <w:jc w:val="center"/>
        </w:trPr>
        <w:tc>
          <w:tcPr>
            <w:tcW w:w="6236" w:type="dxa"/>
            <w:tcBorders>
              <w:top w:val="nil"/>
              <w:left w:val="nil"/>
              <w:right w:val="nil"/>
            </w:tcBorders>
            <w:vAlign w:val="bottom"/>
          </w:tcPr>
          <w:p w:rsidR="00FD06F3" w:rsidRDefault="0054425B">
            <w:pPr>
              <w:pStyle w:val="Tabletext"/>
              <w:widowControl w:val="0"/>
              <w:spacing w:line="238" w:lineRule="auto"/>
              <w:ind w:left="5" w:right="-108" w:hanging="113"/>
              <w:jc w:val="left"/>
            </w:pPr>
            <w:r>
              <w:t>Процентные доходы – долгосрочная задолженность связанной стороны (Прим. 4, 18.9)</w:t>
            </w:r>
          </w:p>
        </w:tc>
        <w:tc>
          <w:tcPr>
            <w:tcW w:w="1701" w:type="dxa"/>
            <w:tcBorders>
              <w:left w:val="nil"/>
              <w:right w:val="nil"/>
            </w:tcBorders>
            <w:vAlign w:val="bottom"/>
          </w:tcPr>
          <w:p w:rsidR="00FD06F3" w:rsidRDefault="0054425B">
            <w:pPr>
              <w:pStyle w:val="Tabletext"/>
              <w:widowControl w:val="0"/>
              <w:tabs>
                <w:tab w:val="decimal" w:pos="1247"/>
              </w:tabs>
              <w:spacing w:line="238" w:lineRule="auto"/>
              <w:jc w:val="left"/>
              <w:rPr>
                <w:highlight w:val="yellow"/>
              </w:rPr>
            </w:pPr>
            <w:r>
              <w:t>71 823</w:t>
            </w:r>
          </w:p>
        </w:tc>
        <w:tc>
          <w:tcPr>
            <w:tcW w:w="1701" w:type="dxa"/>
            <w:tcBorders>
              <w:left w:val="nil"/>
              <w:right w:val="nil"/>
            </w:tcBorders>
            <w:vAlign w:val="bottom"/>
          </w:tcPr>
          <w:p w:rsidR="00FD06F3" w:rsidRDefault="0054425B">
            <w:pPr>
              <w:pStyle w:val="Tabletext"/>
              <w:widowControl w:val="0"/>
              <w:tabs>
                <w:tab w:val="decimal" w:pos="1247"/>
              </w:tabs>
              <w:spacing w:line="238" w:lineRule="auto"/>
              <w:jc w:val="left"/>
              <w:rPr>
                <w:highlight w:val="yellow"/>
              </w:rPr>
            </w:pPr>
            <w:r>
              <w:t>71 823</w:t>
            </w:r>
          </w:p>
        </w:tc>
      </w:tr>
      <w:tr w:rsidR="00FD06F3">
        <w:trPr>
          <w:trHeight w:val="23"/>
          <w:jc w:val="center"/>
        </w:trPr>
        <w:tc>
          <w:tcPr>
            <w:tcW w:w="6236" w:type="dxa"/>
            <w:tcBorders>
              <w:top w:val="nil"/>
              <w:left w:val="nil"/>
              <w:right w:val="nil"/>
            </w:tcBorders>
            <w:vAlign w:val="bottom"/>
          </w:tcPr>
          <w:p w:rsidR="00FD06F3" w:rsidRDefault="0054425B">
            <w:pPr>
              <w:pStyle w:val="Tabletext"/>
              <w:widowControl w:val="0"/>
              <w:spacing w:line="238" w:lineRule="auto"/>
              <w:ind w:left="5" w:right="-108" w:hanging="113"/>
              <w:jc w:val="left"/>
            </w:pPr>
            <w:r>
              <w:t xml:space="preserve">Процентные расходы – банковские кредиты, займы, полученные от связанных сторон, и займы, </w:t>
            </w:r>
            <w:r>
              <w:t>выданные связанным сторонам, нетто</w:t>
            </w:r>
          </w:p>
        </w:tc>
        <w:tc>
          <w:tcPr>
            <w:tcW w:w="1701" w:type="dxa"/>
            <w:tcBorders>
              <w:left w:val="nil"/>
              <w:right w:val="nil"/>
            </w:tcBorders>
            <w:vAlign w:val="bottom"/>
          </w:tcPr>
          <w:p w:rsidR="00FD06F3" w:rsidRDefault="0054425B">
            <w:pPr>
              <w:pStyle w:val="Tabletext"/>
              <w:widowControl w:val="0"/>
              <w:tabs>
                <w:tab w:val="decimal" w:pos="1247"/>
              </w:tabs>
              <w:spacing w:line="238" w:lineRule="auto"/>
              <w:jc w:val="left"/>
              <w:rPr>
                <w:highlight w:val="yellow"/>
              </w:rPr>
            </w:pPr>
            <w:r>
              <w:t>(5 721)</w:t>
            </w:r>
          </w:p>
        </w:tc>
        <w:tc>
          <w:tcPr>
            <w:tcW w:w="1701" w:type="dxa"/>
            <w:tcBorders>
              <w:left w:val="nil"/>
              <w:right w:val="nil"/>
            </w:tcBorders>
            <w:vAlign w:val="bottom"/>
          </w:tcPr>
          <w:p w:rsidR="00FD06F3" w:rsidRDefault="0054425B">
            <w:pPr>
              <w:pStyle w:val="Tabletext"/>
              <w:widowControl w:val="0"/>
              <w:tabs>
                <w:tab w:val="decimal" w:pos="1247"/>
              </w:tabs>
              <w:spacing w:line="238" w:lineRule="auto"/>
              <w:jc w:val="left"/>
              <w:rPr>
                <w:highlight w:val="yellow"/>
              </w:rPr>
            </w:pPr>
            <w:r>
              <w:t>(10 671)</w:t>
            </w:r>
          </w:p>
        </w:tc>
      </w:tr>
      <w:tr w:rsidR="00FD06F3">
        <w:trPr>
          <w:trHeight w:val="23"/>
          <w:jc w:val="center"/>
        </w:trPr>
        <w:tc>
          <w:tcPr>
            <w:tcW w:w="6236" w:type="dxa"/>
            <w:tcBorders>
              <w:top w:val="nil"/>
              <w:left w:val="nil"/>
              <w:right w:val="nil"/>
            </w:tcBorders>
            <w:vAlign w:val="bottom"/>
          </w:tcPr>
          <w:p w:rsidR="00FD06F3" w:rsidRDefault="0054425B">
            <w:pPr>
              <w:pStyle w:val="Tabletext"/>
              <w:widowControl w:val="0"/>
              <w:spacing w:line="238" w:lineRule="auto"/>
              <w:ind w:left="5" w:right="-108" w:hanging="113"/>
              <w:jc w:val="left"/>
            </w:pPr>
            <w:r>
              <w:t>Амортизация финансовых гарантий</w:t>
            </w:r>
          </w:p>
        </w:tc>
        <w:tc>
          <w:tcPr>
            <w:tcW w:w="1701" w:type="dxa"/>
            <w:tcBorders>
              <w:top w:val="nil"/>
              <w:left w:val="nil"/>
              <w:right w:val="nil"/>
            </w:tcBorders>
            <w:vAlign w:val="bottom"/>
          </w:tcPr>
          <w:p w:rsidR="00FD06F3" w:rsidRDefault="0054425B">
            <w:pPr>
              <w:widowControl w:val="0"/>
              <w:tabs>
                <w:tab w:val="decimal" w:pos="1247"/>
              </w:tabs>
              <w:spacing w:line="238" w:lineRule="auto"/>
              <w:jc w:val="left"/>
              <w:rPr>
                <w:sz w:val="18"/>
                <w:szCs w:val="18"/>
                <w:highlight w:val="yellow"/>
              </w:rPr>
            </w:pPr>
            <w:r>
              <w:rPr>
                <w:sz w:val="18"/>
                <w:szCs w:val="18"/>
              </w:rPr>
              <w:t>770</w:t>
            </w:r>
          </w:p>
        </w:tc>
        <w:tc>
          <w:tcPr>
            <w:tcW w:w="1701" w:type="dxa"/>
            <w:tcBorders>
              <w:top w:val="nil"/>
              <w:left w:val="nil"/>
              <w:right w:val="nil"/>
            </w:tcBorders>
            <w:vAlign w:val="bottom"/>
          </w:tcPr>
          <w:p w:rsidR="00FD06F3" w:rsidRDefault="0054425B">
            <w:pPr>
              <w:widowControl w:val="0"/>
              <w:tabs>
                <w:tab w:val="decimal" w:pos="1247"/>
              </w:tabs>
              <w:spacing w:line="238" w:lineRule="auto"/>
              <w:jc w:val="left"/>
              <w:rPr>
                <w:sz w:val="18"/>
                <w:szCs w:val="18"/>
                <w:highlight w:val="yellow"/>
              </w:rPr>
            </w:pPr>
            <w:r>
              <w:rPr>
                <w:sz w:val="18"/>
                <w:szCs w:val="18"/>
              </w:rPr>
              <w:t>766</w:t>
            </w:r>
          </w:p>
        </w:tc>
      </w:tr>
      <w:tr w:rsidR="00FD06F3">
        <w:trPr>
          <w:trHeight w:val="23"/>
          <w:jc w:val="center"/>
        </w:trPr>
        <w:tc>
          <w:tcPr>
            <w:tcW w:w="6236" w:type="dxa"/>
            <w:tcBorders>
              <w:top w:val="nil"/>
              <w:left w:val="nil"/>
              <w:right w:val="nil"/>
            </w:tcBorders>
            <w:vAlign w:val="bottom"/>
          </w:tcPr>
          <w:p w:rsidR="00FD06F3" w:rsidRDefault="0054425B">
            <w:pPr>
              <w:pStyle w:val="Tabletext"/>
              <w:widowControl w:val="0"/>
              <w:spacing w:line="238" w:lineRule="auto"/>
              <w:ind w:left="5" w:right="-108" w:hanging="113"/>
              <w:jc w:val="left"/>
            </w:pPr>
            <w:r>
              <w:t xml:space="preserve">Отрицательные и положительные курсовые разницы, нетто </w:t>
            </w:r>
          </w:p>
        </w:tc>
        <w:tc>
          <w:tcPr>
            <w:tcW w:w="1701" w:type="dxa"/>
            <w:tcBorders>
              <w:left w:val="nil"/>
              <w:right w:val="nil"/>
            </w:tcBorders>
            <w:vAlign w:val="bottom"/>
          </w:tcPr>
          <w:p w:rsidR="00FD06F3" w:rsidRDefault="0054425B">
            <w:pPr>
              <w:widowControl w:val="0"/>
              <w:tabs>
                <w:tab w:val="decimal" w:pos="1247"/>
              </w:tabs>
              <w:spacing w:line="238" w:lineRule="auto"/>
              <w:jc w:val="left"/>
              <w:rPr>
                <w:sz w:val="18"/>
                <w:szCs w:val="18"/>
                <w:highlight w:val="yellow"/>
              </w:rPr>
            </w:pPr>
            <w:r>
              <w:rPr>
                <w:sz w:val="18"/>
                <w:szCs w:val="18"/>
              </w:rPr>
              <w:t>(17 621)</w:t>
            </w:r>
          </w:p>
        </w:tc>
        <w:tc>
          <w:tcPr>
            <w:tcW w:w="1701" w:type="dxa"/>
            <w:tcBorders>
              <w:left w:val="nil"/>
              <w:right w:val="nil"/>
            </w:tcBorders>
            <w:vAlign w:val="bottom"/>
          </w:tcPr>
          <w:p w:rsidR="00FD06F3" w:rsidRDefault="0054425B">
            <w:pPr>
              <w:widowControl w:val="0"/>
              <w:tabs>
                <w:tab w:val="decimal" w:pos="1247"/>
              </w:tabs>
              <w:spacing w:line="238" w:lineRule="auto"/>
              <w:jc w:val="left"/>
              <w:rPr>
                <w:sz w:val="18"/>
                <w:szCs w:val="18"/>
                <w:highlight w:val="yellow"/>
              </w:rPr>
            </w:pPr>
            <w:r>
              <w:rPr>
                <w:sz w:val="18"/>
                <w:szCs w:val="18"/>
              </w:rPr>
              <w:t>257 320</w:t>
            </w:r>
          </w:p>
        </w:tc>
      </w:tr>
      <w:tr w:rsidR="00FD06F3">
        <w:trPr>
          <w:trHeight w:val="23"/>
          <w:jc w:val="center"/>
        </w:trPr>
        <w:tc>
          <w:tcPr>
            <w:tcW w:w="6236" w:type="dxa"/>
            <w:tcBorders>
              <w:top w:val="nil"/>
              <w:left w:val="nil"/>
              <w:right w:val="nil"/>
            </w:tcBorders>
            <w:vAlign w:val="bottom"/>
          </w:tcPr>
          <w:p w:rsidR="00FD06F3" w:rsidRDefault="0054425B">
            <w:pPr>
              <w:widowControl w:val="0"/>
              <w:spacing w:line="238" w:lineRule="auto"/>
              <w:ind w:left="5" w:right="-108" w:hanging="113"/>
              <w:jc w:val="left"/>
              <w:rPr>
                <w:sz w:val="18"/>
                <w:szCs w:val="18"/>
              </w:rPr>
            </w:pPr>
            <w:r>
              <w:rPr>
                <w:sz w:val="18"/>
                <w:szCs w:val="18"/>
              </w:rPr>
              <w:t>Прибыль от переоценки прочих финансовых активов (Прим. 18.4)</w:t>
            </w:r>
          </w:p>
        </w:tc>
        <w:tc>
          <w:tcPr>
            <w:tcW w:w="1701" w:type="dxa"/>
            <w:tcBorders>
              <w:left w:val="nil"/>
              <w:right w:val="nil"/>
            </w:tcBorders>
            <w:vAlign w:val="bottom"/>
          </w:tcPr>
          <w:p w:rsidR="00FD06F3" w:rsidRDefault="0054425B">
            <w:pPr>
              <w:pStyle w:val="Tabletext"/>
              <w:widowControl w:val="0"/>
              <w:tabs>
                <w:tab w:val="decimal" w:pos="1247"/>
              </w:tabs>
              <w:spacing w:line="238" w:lineRule="auto"/>
              <w:jc w:val="left"/>
            </w:pPr>
            <w:r>
              <w:t>1 579</w:t>
            </w:r>
          </w:p>
        </w:tc>
        <w:tc>
          <w:tcPr>
            <w:tcW w:w="1701" w:type="dxa"/>
            <w:tcBorders>
              <w:left w:val="nil"/>
              <w:right w:val="nil"/>
            </w:tcBorders>
            <w:vAlign w:val="bottom"/>
          </w:tcPr>
          <w:p w:rsidR="00FD06F3" w:rsidRDefault="0054425B">
            <w:pPr>
              <w:pStyle w:val="Tabletext"/>
              <w:widowControl w:val="0"/>
              <w:tabs>
                <w:tab w:val="decimal" w:pos="1247"/>
              </w:tabs>
              <w:spacing w:line="238" w:lineRule="auto"/>
              <w:jc w:val="left"/>
            </w:pPr>
            <w:r>
              <w:t>1 302</w:t>
            </w:r>
          </w:p>
        </w:tc>
      </w:tr>
      <w:tr w:rsidR="00FD06F3">
        <w:trPr>
          <w:trHeight w:val="23"/>
          <w:jc w:val="center"/>
        </w:trPr>
        <w:tc>
          <w:tcPr>
            <w:tcW w:w="6236" w:type="dxa"/>
            <w:tcBorders>
              <w:top w:val="nil"/>
              <w:left w:val="nil"/>
              <w:right w:val="nil"/>
            </w:tcBorders>
            <w:vAlign w:val="bottom"/>
          </w:tcPr>
          <w:p w:rsidR="00FD06F3" w:rsidRDefault="0054425B">
            <w:pPr>
              <w:widowControl w:val="0"/>
              <w:spacing w:line="238" w:lineRule="auto"/>
              <w:ind w:left="5" w:right="-108" w:hanging="113"/>
              <w:jc w:val="left"/>
              <w:rPr>
                <w:sz w:val="18"/>
                <w:szCs w:val="18"/>
              </w:rPr>
            </w:pPr>
            <w:r>
              <w:rPr>
                <w:sz w:val="18"/>
                <w:szCs w:val="18"/>
              </w:rPr>
              <w:t xml:space="preserve">Процентные </w:t>
            </w:r>
            <w:r>
              <w:rPr>
                <w:sz w:val="18"/>
                <w:szCs w:val="18"/>
              </w:rPr>
              <w:t>доходы по прочим финансовым активам (Прим. 18.4)</w:t>
            </w:r>
          </w:p>
        </w:tc>
        <w:tc>
          <w:tcPr>
            <w:tcW w:w="1701" w:type="dxa"/>
            <w:tcBorders>
              <w:left w:val="nil"/>
              <w:right w:val="nil"/>
            </w:tcBorders>
            <w:vAlign w:val="bottom"/>
          </w:tcPr>
          <w:p w:rsidR="00FD06F3" w:rsidRDefault="0054425B">
            <w:pPr>
              <w:pStyle w:val="Tabletext"/>
              <w:widowControl w:val="0"/>
              <w:tabs>
                <w:tab w:val="decimal" w:pos="1247"/>
              </w:tabs>
              <w:spacing w:line="238" w:lineRule="auto"/>
              <w:jc w:val="left"/>
            </w:pPr>
            <w:r>
              <w:t>25 707</w:t>
            </w:r>
          </w:p>
        </w:tc>
        <w:tc>
          <w:tcPr>
            <w:tcW w:w="1701" w:type="dxa"/>
            <w:tcBorders>
              <w:left w:val="nil"/>
              <w:right w:val="nil"/>
            </w:tcBorders>
            <w:vAlign w:val="bottom"/>
          </w:tcPr>
          <w:p w:rsidR="00FD06F3" w:rsidRDefault="0054425B">
            <w:pPr>
              <w:pStyle w:val="Tabletext"/>
              <w:widowControl w:val="0"/>
              <w:tabs>
                <w:tab w:val="decimal" w:pos="1247"/>
              </w:tabs>
              <w:spacing w:line="238" w:lineRule="auto"/>
              <w:jc w:val="left"/>
            </w:pPr>
            <w:r>
              <w:t>26 640</w:t>
            </w:r>
          </w:p>
        </w:tc>
      </w:tr>
      <w:tr w:rsidR="00FD06F3">
        <w:trPr>
          <w:trHeight w:val="23"/>
          <w:jc w:val="center"/>
        </w:trPr>
        <w:tc>
          <w:tcPr>
            <w:tcW w:w="6236" w:type="dxa"/>
            <w:tcBorders>
              <w:top w:val="nil"/>
              <w:left w:val="nil"/>
              <w:right w:val="nil"/>
            </w:tcBorders>
            <w:vAlign w:val="bottom"/>
          </w:tcPr>
          <w:p w:rsidR="00FD06F3" w:rsidRDefault="0054425B">
            <w:pPr>
              <w:pStyle w:val="Tabletext"/>
              <w:widowControl w:val="0"/>
              <w:spacing w:line="238" w:lineRule="auto"/>
              <w:ind w:left="5" w:right="-108" w:hanging="113"/>
              <w:jc w:val="left"/>
            </w:pPr>
            <w:r>
              <w:t>Корректировка справедливой стоимости займов (Прим. 18.5)</w:t>
            </w:r>
          </w:p>
        </w:tc>
        <w:tc>
          <w:tcPr>
            <w:tcW w:w="1701" w:type="dxa"/>
            <w:tcBorders>
              <w:left w:val="nil"/>
              <w:right w:val="nil"/>
            </w:tcBorders>
            <w:vAlign w:val="bottom"/>
          </w:tcPr>
          <w:p w:rsidR="00FD06F3" w:rsidRDefault="0054425B">
            <w:pPr>
              <w:pStyle w:val="Tabletext"/>
              <w:widowControl w:val="0"/>
              <w:tabs>
                <w:tab w:val="decimal" w:pos="1247"/>
              </w:tabs>
              <w:spacing w:line="238" w:lineRule="auto"/>
              <w:jc w:val="left"/>
              <w:rPr>
                <w:highlight w:val="yellow"/>
              </w:rPr>
            </w:pPr>
            <w:r>
              <w:t>57 074</w:t>
            </w:r>
          </w:p>
        </w:tc>
        <w:tc>
          <w:tcPr>
            <w:tcW w:w="1701" w:type="dxa"/>
            <w:tcBorders>
              <w:left w:val="nil"/>
              <w:right w:val="nil"/>
            </w:tcBorders>
            <w:vAlign w:val="bottom"/>
          </w:tcPr>
          <w:p w:rsidR="00FD06F3" w:rsidRDefault="0054425B">
            <w:pPr>
              <w:pStyle w:val="Tabletext"/>
              <w:widowControl w:val="0"/>
              <w:tabs>
                <w:tab w:val="decimal" w:pos="1247"/>
              </w:tabs>
              <w:spacing w:line="238" w:lineRule="auto"/>
              <w:jc w:val="left"/>
              <w:rPr>
                <w:highlight w:val="yellow"/>
              </w:rPr>
            </w:pPr>
            <w:r>
              <w:t>60 640</w:t>
            </w:r>
          </w:p>
        </w:tc>
      </w:tr>
      <w:tr w:rsidR="00FD06F3">
        <w:trPr>
          <w:trHeight w:val="23"/>
          <w:jc w:val="center"/>
        </w:trPr>
        <w:tc>
          <w:tcPr>
            <w:tcW w:w="6236" w:type="dxa"/>
            <w:tcBorders>
              <w:top w:val="nil"/>
              <w:left w:val="nil"/>
              <w:right w:val="nil"/>
            </w:tcBorders>
            <w:vAlign w:val="bottom"/>
          </w:tcPr>
          <w:p w:rsidR="00FD06F3" w:rsidRDefault="0054425B">
            <w:pPr>
              <w:pStyle w:val="Tabletext"/>
              <w:widowControl w:val="0"/>
              <w:spacing w:line="238" w:lineRule="auto"/>
              <w:ind w:left="5" w:right="-108" w:hanging="113"/>
              <w:jc w:val="left"/>
            </w:pPr>
            <w:r>
              <w:t>Прочие финансовые доходы</w:t>
            </w:r>
          </w:p>
        </w:tc>
        <w:tc>
          <w:tcPr>
            <w:tcW w:w="1701" w:type="dxa"/>
            <w:tcBorders>
              <w:left w:val="nil"/>
              <w:bottom w:val="single" w:sz="6" w:space="0" w:color="000000"/>
              <w:right w:val="nil"/>
            </w:tcBorders>
            <w:vAlign w:val="bottom"/>
          </w:tcPr>
          <w:p w:rsidR="00FD06F3" w:rsidRDefault="0054425B">
            <w:pPr>
              <w:pStyle w:val="Tabletext"/>
              <w:widowControl w:val="0"/>
              <w:tabs>
                <w:tab w:val="decimal" w:pos="1247"/>
              </w:tabs>
              <w:spacing w:line="238" w:lineRule="auto"/>
              <w:jc w:val="left"/>
              <w:rPr>
                <w:highlight w:val="yellow"/>
              </w:rPr>
            </w:pPr>
            <w:r>
              <w:t>502</w:t>
            </w:r>
          </w:p>
        </w:tc>
        <w:tc>
          <w:tcPr>
            <w:tcW w:w="1701" w:type="dxa"/>
            <w:tcBorders>
              <w:left w:val="nil"/>
              <w:bottom w:val="single" w:sz="6" w:space="0" w:color="000000"/>
              <w:right w:val="nil"/>
            </w:tcBorders>
            <w:vAlign w:val="bottom"/>
          </w:tcPr>
          <w:p w:rsidR="00FD06F3" w:rsidRDefault="0054425B">
            <w:pPr>
              <w:pStyle w:val="Tabletext"/>
              <w:widowControl w:val="0"/>
              <w:tabs>
                <w:tab w:val="decimal" w:pos="1247"/>
              </w:tabs>
              <w:spacing w:line="238" w:lineRule="auto"/>
              <w:jc w:val="left"/>
              <w:rPr>
                <w:highlight w:val="yellow"/>
              </w:rPr>
            </w:pPr>
            <w:r>
              <w:t>1 493</w:t>
            </w:r>
          </w:p>
        </w:tc>
      </w:tr>
      <w:tr w:rsidR="00FD06F3">
        <w:trPr>
          <w:trHeight w:val="340"/>
          <w:jc w:val="center"/>
        </w:trPr>
        <w:tc>
          <w:tcPr>
            <w:tcW w:w="6236" w:type="dxa"/>
            <w:tcBorders>
              <w:left w:val="nil"/>
              <w:bottom w:val="nil"/>
              <w:right w:val="nil"/>
            </w:tcBorders>
            <w:vAlign w:val="bottom"/>
          </w:tcPr>
          <w:p w:rsidR="00FD06F3" w:rsidRDefault="00FD06F3">
            <w:pPr>
              <w:pStyle w:val="Tabletext"/>
              <w:widowControl w:val="0"/>
              <w:spacing w:line="238" w:lineRule="auto"/>
              <w:ind w:left="5" w:right="-108" w:hanging="113"/>
              <w:jc w:val="left"/>
            </w:pPr>
          </w:p>
        </w:tc>
        <w:tc>
          <w:tcPr>
            <w:tcW w:w="1701" w:type="dxa"/>
            <w:tcBorders>
              <w:top w:val="single" w:sz="6" w:space="0" w:color="000000"/>
              <w:left w:val="nil"/>
              <w:bottom w:val="single" w:sz="12" w:space="0" w:color="auto"/>
              <w:right w:val="nil"/>
            </w:tcBorders>
            <w:vAlign w:val="bottom"/>
          </w:tcPr>
          <w:p w:rsidR="00FD06F3" w:rsidRDefault="0054425B">
            <w:pPr>
              <w:pStyle w:val="Tabletext"/>
              <w:widowControl w:val="0"/>
              <w:tabs>
                <w:tab w:val="decimal" w:pos="1247"/>
              </w:tabs>
              <w:spacing w:line="238" w:lineRule="auto"/>
              <w:jc w:val="left"/>
              <w:rPr>
                <w:b/>
                <w:bCs/>
              </w:rPr>
            </w:pPr>
            <w:r>
              <w:rPr>
                <w:b/>
                <w:bCs/>
              </w:rPr>
              <w:t>134 113</w:t>
            </w:r>
          </w:p>
        </w:tc>
        <w:tc>
          <w:tcPr>
            <w:tcW w:w="1701" w:type="dxa"/>
            <w:tcBorders>
              <w:top w:val="single" w:sz="6" w:space="0" w:color="000000"/>
              <w:left w:val="nil"/>
              <w:bottom w:val="single" w:sz="12" w:space="0" w:color="auto"/>
              <w:right w:val="nil"/>
            </w:tcBorders>
            <w:vAlign w:val="bottom"/>
          </w:tcPr>
          <w:p w:rsidR="00FD06F3" w:rsidRDefault="0054425B">
            <w:pPr>
              <w:pStyle w:val="Tabletext"/>
              <w:widowControl w:val="0"/>
              <w:tabs>
                <w:tab w:val="decimal" w:pos="1247"/>
              </w:tabs>
              <w:spacing w:line="238" w:lineRule="auto"/>
              <w:jc w:val="left"/>
              <w:rPr>
                <w:b/>
                <w:bCs/>
              </w:rPr>
            </w:pPr>
            <w:r>
              <w:rPr>
                <w:b/>
                <w:bCs/>
              </w:rPr>
              <w:t>409 313</w:t>
            </w:r>
          </w:p>
        </w:tc>
      </w:tr>
    </w:tbl>
    <w:p w:rsidR="00FD06F3" w:rsidRDefault="0054425B">
      <w:pPr>
        <w:pStyle w:val="12"/>
      </w:pPr>
      <w:bookmarkStart w:id="138" w:name="_Toc354762895"/>
      <w:bookmarkStart w:id="139" w:name="_Toc356225100"/>
      <w:r>
        <w:br w:type="page"/>
      </w:r>
      <w:bookmarkStart w:id="140" w:name="_Toc387743866"/>
      <w:bookmarkStart w:id="141" w:name="_Toc387743943"/>
      <w:bookmarkStart w:id="142" w:name="_Toc512452531"/>
      <w:r>
        <w:lastRenderedPageBreak/>
        <w:t>18.</w:t>
      </w:r>
      <w:r>
        <w:tab/>
        <w:t>Операции со связанными сторонами</w:t>
      </w:r>
      <w:bookmarkEnd w:id="138"/>
      <w:bookmarkEnd w:id="139"/>
      <w:bookmarkEnd w:id="140"/>
      <w:bookmarkEnd w:id="141"/>
      <w:bookmarkEnd w:id="142"/>
      <w:r>
        <w:t xml:space="preserve"> </w:t>
      </w:r>
    </w:p>
    <w:p w:rsidR="00FD06F3" w:rsidRDefault="00FD06F3">
      <w:pPr>
        <w:widowControl w:val="0"/>
      </w:pPr>
    </w:p>
    <w:p w:rsidR="00FD06F3" w:rsidRDefault="0054425B">
      <w:pPr>
        <w:widowControl w:val="0"/>
      </w:pPr>
      <w:r>
        <w:t xml:space="preserve">Группа имеет существенный </w:t>
      </w:r>
      <w:r>
        <w:t>объем операций с компаниями Группы «Гута», фактически владеющей мажоритарной долей акционерного капитала Компании и осуществляющей значительный контроль над ее деятельностью. Вследствие характера отношений между Группой и Группой «Гута» условия этих операц</w:t>
      </w:r>
      <w:r>
        <w:t>ий отличаются от условий, обычно принятых для аналогичных операций с несвязанными сторонами. Эти условия могут быть изменены в любой момент времени исходя из интересов Группы «Гута» и, таким образом, влиять на сопоставимость данных в консолидированной фина</w:t>
      </w:r>
      <w:r>
        <w:t>нсовой отчетности различных периодов.</w:t>
      </w:r>
    </w:p>
    <w:p w:rsidR="00FD06F3" w:rsidRDefault="00FD06F3">
      <w:pPr>
        <w:widowControl w:val="0"/>
      </w:pPr>
    </w:p>
    <w:p w:rsidR="00FD06F3" w:rsidRDefault="0054425B">
      <w:pPr>
        <w:widowControl w:val="0"/>
      </w:pPr>
      <w:r>
        <w:t>Со связанными сторонами были осуществлены следующие сделки и имеются следующие остатки по счетам консолидированной финансовой отчетности:</w:t>
      </w:r>
    </w:p>
    <w:p w:rsidR="00FD06F3" w:rsidRDefault="00FD06F3">
      <w:pPr>
        <w:widowControl w:val="0"/>
      </w:pPr>
    </w:p>
    <w:p w:rsidR="00FD06F3" w:rsidRDefault="0054425B">
      <w:pPr>
        <w:pStyle w:val="2"/>
      </w:pPr>
      <w:bookmarkStart w:id="143" w:name="_Toc387743867"/>
      <w:r>
        <w:t>18.1</w:t>
      </w:r>
      <w:r>
        <w:tab/>
        <w:t>Кредиты и займы, полученные от связанных сторон</w:t>
      </w:r>
      <w:bookmarkEnd w:id="143"/>
    </w:p>
    <w:p w:rsidR="00FD06F3" w:rsidRDefault="00FD06F3">
      <w:pPr>
        <w:widowControl w:val="0"/>
        <w:rPr>
          <w:caps/>
        </w:rPr>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pStyle w:val="Tabletext"/>
              <w:widowControl w:val="0"/>
              <w:ind w:left="5" w:right="-108" w:hanging="113"/>
              <w:jc w:val="left"/>
            </w:pPr>
          </w:p>
        </w:tc>
        <w:tc>
          <w:tcPr>
            <w:tcW w:w="1701" w:type="dxa"/>
            <w:tcBorders>
              <w:bottom w:val="single" w:sz="6" w:space="0" w:color="auto"/>
            </w:tcBorders>
            <w:vAlign w:val="bottom"/>
          </w:tcPr>
          <w:p w:rsidR="00FD06F3" w:rsidRDefault="0054425B">
            <w:pPr>
              <w:widowControl w:val="0"/>
              <w:ind w:left="-108" w:right="-108"/>
              <w:jc w:val="center"/>
              <w:rPr>
                <w:b/>
                <w:bCs/>
                <w:sz w:val="18"/>
                <w:szCs w:val="18"/>
              </w:rPr>
            </w:pPr>
            <w:r>
              <w:rPr>
                <w:b/>
                <w:bCs/>
                <w:sz w:val="18"/>
                <w:szCs w:val="18"/>
              </w:rPr>
              <w:t>2017 г.</w:t>
            </w:r>
          </w:p>
        </w:tc>
        <w:tc>
          <w:tcPr>
            <w:tcW w:w="1701" w:type="dxa"/>
            <w:tcBorders>
              <w:bottom w:val="single" w:sz="6" w:space="0" w:color="auto"/>
            </w:tcBorders>
            <w:vAlign w:val="bottom"/>
          </w:tcPr>
          <w:p w:rsidR="00FD06F3" w:rsidRDefault="0054425B">
            <w:pPr>
              <w:widowControl w:val="0"/>
              <w:ind w:left="-108" w:right="-108"/>
              <w:jc w:val="center"/>
              <w:rPr>
                <w:b/>
                <w:bCs/>
                <w:sz w:val="18"/>
                <w:szCs w:val="18"/>
              </w:rPr>
            </w:pPr>
            <w:r>
              <w:rPr>
                <w:b/>
                <w:bCs/>
                <w:sz w:val="18"/>
                <w:szCs w:val="18"/>
              </w:rPr>
              <w:t>2016 г.</w:t>
            </w:r>
          </w:p>
        </w:tc>
      </w:tr>
      <w:tr w:rsidR="00FD06F3">
        <w:trPr>
          <w:trHeight w:val="340"/>
          <w:jc w:val="center"/>
        </w:trPr>
        <w:tc>
          <w:tcPr>
            <w:tcW w:w="6236" w:type="dxa"/>
            <w:vAlign w:val="bottom"/>
          </w:tcPr>
          <w:p w:rsidR="00FD06F3" w:rsidRDefault="0054425B">
            <w:pPr>
              <w:pStyle w:val="Tabletext"/>
              <w:widowControl w:val="0"/>
              <w:ind w:left="5" w:right="-108" w:hanging="113"/>
              <w:jc w:val="left"/>
              <w:rPr>
                <w:b/>
                <w:bCs/>
              </w:rPr>
            </w:pPr>
            <w:r>
              <w:rPr>
                <w:b/>
                <w:bCs/>
              </w:rPr>
              <w:t>Остаток на начало года</w:t>
            </w:r>
          </w:p>
        </w:tc>
        <w:tc>
          <w:tcPr>
            <w:tcW w:w="1701" w:type="dxa"/>
            <w:tcBorders>
              <w:top w:val="single" w:sz="6" w:space="0" w:color="auto"/>
            </w:tcBorders>
            <w:vAlign w:val="bottom"/>
          </w:tcPr>
          <w:p w:rsidR="00FD06F3" w:rsidRDefault="0054425B">
            <w:pPr>
              <w:tabs>
                <w:tab w:val="decimal" w:pos="1247"/>
              </w:tabs>
              <w:jc w:val="left"/>
              <w:rPr>
                <w:b/>
                <w:sz w:val="18"/>
                <w:szCs w:val="18"/>
              </w:rPr>
            </w:pPr>
            <w:r>
              <w:rPr>
                <w:b/>
                <w:sz w:val="18"/>
                <w:szCs w:val="18"/>
              </w:rPr>
              <w:t>904 199</w:t>
            </w:r>
          </w:p>
        </w:tc>
        <w:tc>
          <w:tcPr>
            <w:tcW w:w="1701" w:type="dxa"/>
            <w:tcBorders>
              <w:top w:val="single" w:sz="6" w:space="0" w:color="auto"/>
            </w:tcBorders>
            <w:vAlign w:val="bottom"/>
          </w:tcPr>
          <w:p w:rsidR="00FD06F3" w:rsidRDefault="0054425B">
            <w:pPr>
              <w:tabs>
                <w:tab w:val="decimal" w:pos="1247"/>
              </w:tabs>
              <w:jc w:val="left"/>
              <w:rPr>
                <w:b/>
                <w:sz w:val="18"/>
                <w:szCs w:val="18"/>
              </w:rPr>
            </w:pPr>
            <w:r>
              <w:rPr>
                <w:b/>
                <w:sz w:val="18"/>
                <w:szCs w:val="18"/>
              </w:rPr>
              <w:t>928 241</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Получено в течение года</w:t>
            </w:r>
          </w:p>
        </w:tc>
        <w:tc>
          <w:tcPr>
            <w:tcW w:w="1701" w:type="dxa"/>
            <w:vAlign w:val="bottom"/>
          </w:tcPr>
          <w:p w:rsidR="00FD06F3" w:rsidRDefault="0054425B">
            <w:pPr>
              <w:tabs>
                <w:tab w:val="decimal" w:pos="1247"/>
              </w:tabs>
              <w:jc w:val="left"/>
              <w:rPr>
                <w:sz w:val="18"/>
                <w:szCs w:val="18"/>
              </w:rPr>
            </w:pPr>
            <w:r>
              <w:rPr>
                <w:sz w:val="18"/>
                <w:szCs w:val="18"/>
              </w:rPr>
              <w:t>650</w:t>
            </w:r>
          </w:p>
        </w:tc>
        <w:tc>
          <w:tcPr>
            <w:tcW w:w="1701" w:type="dxa"/>
            <w:vAlign w:val="bottom"/>
          </w:tcPr>
          <w:p w:rsidR="00FD06F3" w:rsidRDefault="0054425B">
            <w:pPr>
              <w:tabs>
                <w:tab w:val="decimal" w:pos="1247"/>
              </w:tabs>
              <w:jc w:val="left"/>
              <w:rPr>
                <w:sz w:val="18"/>
                <w:szCs w:val="18"/>
              </w:rPr>
            </w:pPr>
            <w:r>
              <w:rPr>
                <w:sz w:val="18"/>
                <w:szCs w:val="18"/>
              </w:rPr>
              <w:t>26 620</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Погашено в течение года</w:t>
            </w:r>
          </w:p>
        </w:tc>
        <w:tc>
          <w:tcPr>
            <w:tcW w:w="1701" w:type="dxa"/>
            <w:vAlign w:val="bottom"/>
          </w:tcPr>
          <w:p w:rsidR="00FD06F3" w:rsidRDefault="0054425B">
            <w:pPr>
              <w:tabs>
                <w:tab w:val="decimal" w:pos="1247"/>
              </w:tabs>
              <w:jc w:val="left"/>
              <w:rPr>
                <w:sz w:val="18"/>
                <w:szCs w:val="18"/>
              </w:rPr>
            </w:pPr>
            <w:r>
              <w:rPr>
                <w:sz w:val="18"/>
                <w:szCs w:val="18"/>
              </w:rPr>
              <w:t>(800 000)</w:t>
            </w:r>
          </w:p>
        </w:tc>
        <w:tc>
          <w:tcPr>
            <w:tcW w:w="1701" w:type="dxa"/>
            <w:vAlign w:val="bottom"/>
          </w:tcPr>
          <w:p w:rsidR="00FD06F3" w:rsidRDefault="0054425B">
            <w:pPr>
              <w:tabs>
                <w:tab w:val="decimal" w:pos="1247"/>
              </w:tabs>
              <w:jc w:val="left"/>
              <w:rPr>
                <w:sz w:val="18"/>
                <w:szCs w:val="18"/>
              </w:rPr>
            </w:pPr>
            <w:r>
              <w:rPr>
                <w:sz w:val="18"/>
                <w:szCs w:val="18"/>
              </w:rPr>
              <w:t>–</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Процентные расходы</w:t>
            </w:r>
          </w:p>
        </w:tc>
        <w:tc>
          <w:tcPr>
            <w:tcW w:w="1701" w:type="dxa"/>
            <w:vAlign w:val="bottom"/>
          </w:tcPr>
          <w:p w:rsidR="00FD06F3" w:rsidRDefault="0054425B">
            <w:pPr>
              <w:tabs>
                <w:tab w:val="decimal" w:pos="1247"/>
              </w:tabs>
              <w:jc w:val="left"/>
              <w:rPr>
                <w:sz w:val="18"/>
                <w:szCs w:val="18"/>
              </w:rPr>
            </w:pPr>
            <w:r>
              <w:rPr>
                <w:sz w:val="18"/>
                <w:szCs w:val="18"/>
              </w:rPr>
              <w:t>76 051</w:t>
            </w:r>
          </w:p>
        </w:tc>
        <w:tc>
          <w:tcPr>
            <w:tcW w:w="1701" w:type="dxa"/>
            <w:vAlign w:val="bottom"/>
          </w:tcPr>
          <w:p w:rsidR="00FD06F3" w:rsidRDefault="0054425B">
            <w:pPr>
              <w:tabs>
                <w:tab w:val="decimal" w:pos="1247"/>
              </w:tabs>
              <w:jc w:val="left"/>
              <w:rPr>
                <w:sz w:val="18"/>
                <w:szCs w:val="18"/>
              </w:rPr>
            </w:pPr>
            <w:r>
              <w:rPr>
                <w:sz w:val="18"/>
                <w:szCs w:val="18"/>
              </w:rPr>
              <w:t>114 308</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Проценты уплаченные</w:t>
            </w:r>
          </w:p>
        </w:tc>
        <w:tc>
          <w:tcPr>
            <w:tcW w:w="1701" w:type="dxa"/>
            <w:tcBorders>
              <w:bottom w:val="single" w:sz="6" w:space="0" w:color="auto"/>
            </w:tcBorders>
            <w:vAlign w:val="bottom"/>
          </w:tcPr>
          <w:p w:rsidR="00FD06F3" w:rsidRDefault="0054425B">
            <w:pPr>
              <w:tabs>
                <w:tab w:val="decimal" w:pos="1247"/>
              </w:tabs>
              <w:jc w:val="left"/>
              <w:rPr>
                <w:sz w:val="18"/>
                <w:szCs w:val="18"/>
              </w:rPr>
            </w:pPr>
            <w:r>
              <w:rPr>
                <w:sz w:val="18"/>
                <w:szCs w:val="18"/>
              </w:rPr>
              <w:t>(79 039)</w:t>
            </w:r>
          </w:p>
        </w:tc>
        <w:tc>
          <w:tcPr>
            <w:tcW w:w="1701" w:type="dxa"/>
            <w:tcBorders>
              <w:bottom w:val="single" w:sz="6" w:space="0" w:color="auto"/>
            </w:tcBorders>
            <w:vAlign w:val="bottom"/>
          </w:tcPr>
          <w:p w:rsidR="00FD06F3" w:rsidRDefault="0054425B">
            <w:pPr>
              <w:tabs>
                <w:tab w:val="decimal" w:pos="1247"/>
              </w:tabs>
              <w:jc w:val="left"/>
              <w:rPr>
                <w:sz w:val="18"/>
                <w:szCs w:val="18"/>
              </w:rPr>
            </w:pPr>
            <w:r>
              <w:rPr>
                <w:sz w:val="18"/>
                <w:szCs w:val="18"/>
              </w:rPr>
              <w:t>(164 970)</w:t>
            </w:r>
          </w:p>
        </w:tc>
      </w:tr>
      <w:tr w:rsidR="00FD06F3">
        <w:trPr>
          <w:trHeight w:val="340"/>
          <w:jc w:val="center"/>
        </w:trPr>
        <w:tc>
          <w:tcPr>
            <w:tcW w:w="6236" w:type="dxa"/>
            <w:tcBorders>
              <w:bottom w:val="nil"/>
            </w:tcBorders>
            <w:vAlign w:val="bottom"/>
          </w:tcPr>
          <w:p w:rsidR="00FD06F3" w:rsidRDefault="0054425B">
            <w:pPr>
              <w:pStyle w:val="Tabletext"/>
              <w:widowControl w:val="0"/>
              <w:ind w:left="5" w:right="-108" w:hanging="113"/>
              <w:jc w:val="left"/>
              <w:rPr>
                <w:b/>
                <w:bCs/>
              </w:rPr>
            </w:pPr>
            <w:r>
              <w:rPr>
                <w:b/>
                <w:bCs/>
              </w:rPr>
              <w:t>На конец года</w:t>
            </w:r>
          </w:p>
        </w:tc>
        <w:tc>
          <w:tcPr>
            <w:tcW w:w="1701" w:type="dxa"/>
            <w:tcBorders>
              <w:top w:val="single" w:sz="6" w:space="0" w:color="auto"/>
              <w:bottom w:val="single" w:sz="12" w:space="0" w:color="auto"/>
            </w:tcBorders>
            <w:vAlign w:val="bottom"/>
          </w:tcPr>
          <w:p w:rsidR="00FD06F3" w:rsidRDefault="0054425B">
            <w:pPr>
              <w:tabs>
                <w:tab w:val="decimal" w:pos="1247"/>
              </w:tabs>
              <w:jc w:val="left"/>
              <w:rPr>
                <w:b/>
                <w:sz w:val="18"/>
                <w:szCs w:val="18"/>
              </w:rPr>
            </w:pPr>
            <w:r>
              <w:rPr>
                <w:b/>
                <w:sz w:val="18"/>
                <w:szCs w:val="18"/>
              </w:rPr>
              <w:t>101 861</w:t>
            </w:r>
          </w:p>
        </w:tc>
        <w:tc>
          <w:tcPr>
            <w:tcW w:w="1701" w:type="dxa"/>
            <w:tcBorders>
              <w:top w:val="single" w:sz="6" w:space="0" w:color="auto"/>
              <w:bottom w:val="single" w:sz="12" w:space="0" w:color="auto"/>
            </w:tcBorders>
            <w:vAlign w:val="bottom"/>
          </w:tcPr>
          <w:p w:rsidR="00FD06F3" w:rsidRDefault="0054425B">
            <w:pPr>
              <w:tabs>
                <w:tab w:val="decimal" w:pos="1247"/>
              </w:tabs>
              <w:jc w:val="left"/>
              <w:rPr>
                <w:b/>
                <w:sz w:val="18"/>
                <w:szCs w:val="18"/>
              </w:rPr>
            </w:pPr>
            <w:r>
              <w:rPr>
                <w:b/>
                <w:sz w:val="18"/>
                <w:szCs w:val="18"/>
              </w:rPr>
              <w:t>904 199</w:t>
            </w:r>
          </w:p>
        </w:tc>
      </w:tr>
    </w:tbl>
    <w:p w:rsidR="00FD06F3" w:rsidRDefault="00FD06F3">
      <w:pPr>
        <w:widowControl w:val="0"/>
      </w:pPr>
    </w:p>
    <w:p w:rsidR="00FD06F3" w:rsidRDefault="0054425B">
      <w:pPr>
        <w:widowControl w:val="0"/>
      </w:pPr>
      <w:r>
        <w:t xml:space="preserve">Займы от связанных сторон были получены без обеспечения в рублях по ставке 8,25-13,95% годовых (Примечание 11). </w:t>
      </w:r>
    </w:p>
    <w:p w:rsidR="00FD06F3" w:rsidRDefault="00FD06F3">
      <w:pPr>
        <w:pStyle w:val="level21"/>
        <w:ind w:left="0" w:firstLine="0"/>
        <w:jc w:val="both"/>
        <w:rPr>
          <w:rFonts w:ascii="Times New Roman" w:hAnsi="Times New Roman"/>
          <w:caps w:val="0"/>
          <w:color w:val="auto"/>
        </w:rPr>
      </w:pPr>
      <w:bookmarkStart w:id="144" w:name="_Toc387743868"/>
    </w:p>
    <w:p w:rsidR="00FD06F3" w:rsidRDefault="0054425B">
      <w:pPr>
        <w:pStyle w:val="2"/>
      </w:pPr>
      <w:r>
        <w:t>18.2</w:t>
      </w:r>
      <w:r>
        <w:tab/>
        <w:t>Выручка от реализации</w:t>
      </w:r>
      <w:bookmarkEnd w:id="144"/>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widowControl w:val="0"/>
              <w:ind w:left="5" w:right="-108" w:hanging="113"/>
              <w:jc w:val="left"/>
              <w:rPr>
                <w:b/>
                <w:bCs/>
                <w:sz w:val="18"/>
                <w:szCs w:val="18"/>
              </w:rPr>
            </w:pPr>
          </w:p>
        </w:tc>
        <w:tc>
          <w:tcPr>
            <w:tcW w:w="1701" w:type="dxa"/>
            <w:tcBorders>
              <w:bottom w:val="single" w:sz="6" w:space="0" w:color="auto"/>
            </w:tcBorders>
            <w:vAlign w:val="bottom"/>
          </w:tcPr>
          <w:p w:rsidR="00FD06F3" w:rsidRDefault="0054425B">
            <w:pPr>
              <w:widowControl w:val="0"/>
              <w:ind w:left="-108" w:right="-108"/>
              <w:jc w:val="center"/>
              <w:rPr>
                <w:b/>
                <w:bCs/>
                <w:sz w:val="18"/>
                <w:szCs w:val="18"/>
              </w:rPr>
            </w:pPr>
            <w:r>
              <w:rPr>
                <w:b/>
                <w:bCs/>
                <w:sz w:val="18"/>
                <w:szCs w:val="18"/>
              </w:rPr>
              <w:t>2017 г.</w:t>
            </w:r>
          </w:p>
        </w:tc>
        <w:tc>
          <w:tcPr>
            <w:tcW w:w="1701" w:type="dxa"/>
            <w:tcBorders>
              <w:bottom w:val="single" w:sz="6" w:space="0" w:color="auto"/>
            </w:tcBorders>
            <w:vAlign w:val="bottom"/>
          </w:tcPr>
          <w:p w:rsidR="00FD06F3" w:rsidRDefault="0054425B">
            <w:pPr>
              <w:widowControl w:val="0"/>
              <w:ind w:left="-108" w:right="-108"/>
              <w:jc w:val="center"/>
              <w:rPr>
                <w:b/>
                <w:bCs/>
                <w:sz w:val="18"/>
                <w:szCs w:val="18"/>
              </w:rPr>
            </w:pPr>
            <w:r>
              <w:rPr>
                <w:b/>
                <w:bCs/>
                <w:sz w:val="18"/>
                <w:szCs w:val="18"/>
              </w:rPr>
              <w:t>2016 г.</w:t>
            </w:r>
          </w:p>
        </w:tc>
      </w:tr>
      <w:tr w:rsidR="00FD06F3">
        <w:trPr>
          <w:trHeight w:val="340"/>
          <w:jc w:val="center"/>
        </w:trPr>
        <w:tc>
          <w:tcPr>
            <w:tcW w:w="6236" w:type="dxa"/>
            <w:vAlign w:val="bottom"/>
          </w:tcPr>
          <w:p w:rsidR="00FD06F3" w:rsidRDefault="0054425B">
            <w:pPr>
              <w:pStyle w:val="Tabletext"/>
              <w:widowControl w:val="0"/>
              <w:ind w:left="5" w:right="-108" w:hanging="113"/>
              <w:jc w:val="left"/>
              <w:rPr>
                <w:b/>
                <w:bCs/>
              </w:rPr>
            </w:pPr>
            <w:r>
              <w:t>Реализация готовой продукции и товаров</w:t>
            </w:r>
          </w:p>
        </w:tc>
        <w:tc>
          <w:tcPr>
            <w:tcW w:w="1701" w:type="dxa"/>
            <w:tcBorders>
              <w:top w:val="single" w:sz="6" w:space="0" w:color="auto"/>
            </w:tcBorders>
            <w:vAlign w:val="bottom"/>
          </w:tcPr>
          <w:p w:rsidR="00FD06F3" w:rsidRDefault="0054425B">
            <w:pPr>
              <w:tabs>
                <w:tab w:val="decimal" w:pos="1247"/>
              </w:tabs>
              <w:jc w:val="left"/>
              <w:rPr>
                <w:sz w:val="18"/>
                <w:szCs w:val="18"/>
              </w:rPr>
            </w:pPr>
            <w:r>
              <w:rPr>
                <w:sz w:val="18"/>
                <w:szCs w:val="18"/>
              </w:rPr>
              <w:t>12 407 993</w:t>
            </w:r>
          </w:p>
        </w:tc>
        <w:tc>
          <w:tcPr>
            <w:tcW w:w="1701" w:type="dxa"/>
            <w:tcBorders>
              <w:top w:val="single" w:sz="6" w:space="0" w:color="auto"/>
            </w:tcBorders>
            <w:vAlign w:val="bottom"/>
          </w:tcPr>
          <w:p w:rsidR="00FD06F3" w:rsidRDefault="0054425B">
            <w:pPr>
              <w:tabs>
                <w:tab w:val="decimal" w:pos="1247"/>
              </w:tabs>
              <w:jc w:val="left"/>
              <w:rPr>
                <w:sz w:val="18"/>
                <w:szCs w:val="18"/>
              </w:rPr>
            </w:pPr>
            <w:r>
              <w:rPr>
                <w:sz w:val="18"/>
                <w:szCs w:val="18"/>
              </w:rPr>
              <w:t>11 933 817</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Реализация услуг</w:t>
            </w:r>
          </w:p>
        </w:tc>
        <w:tc>
          <w:tcPr>
            <w:tcW w:w="1701" w:type="dxa"/>
            <w:tcBorders>
              <w:bottom w:val="single" w:sz="6" w:space="0" w:color="auto"/>
            </w:tcBorders>
            <w:vAlign w:val="bottom"/>
          </w:tcPr>
          <w:p w:rsidR="00FD06F3" w:rsidRDefault="0054425B">
            <w:pPr>
              <w:tabs>
                <w:tab w:val="decimal" w:pos="1247"/>
              </w:tabs>
              <w:jc w:val="left"/>
              <w:rPr>
                <w:sz w:val="18"/>
                <w:szCs w:val="18"/>
              </w:rPr>
            </w:pPr>
            <w:r>
              <w:rPr>
                <w:sz w:val="18"/>
                <w:szCs w:val="18"/>
              </w:rPr>
              <w:t>660 611</w:t>
            </w:r>
          </w:p>
        </w:tc>
        <w:tc>
          <w:tcPr>
            <w:tcW w:w="1701" w:type="dxa"/>
            <w:tcBorders>
              <w:bottom w:val="single" w:sz="6" w:space="0" w:color="auto"/>
            </w:tcBorders>
            <w:vAlign w:val="bottom"/>
          </w:tcPr>
          <w:p w:rsidR="00FD06F3" w:rsidRDefault="0054425B">
            <w:pPr>
              <w:tabs>
                <w:tab w:val="decimal" w:pos="1247"/>
              </w:tabs>
              <w:jc w:val="left"/>
              <w:rPr>
                <w:sz w:val="18"/>
                <w:szCs w:val="18"/>
              </w:rPr>
            </w:pPr>
            <w:r>
              <w:rPr>
                <w:sz w:val="18"/>
                <w:szCs w:val="18"/>
              </w:rPr>
              <w:t>1 399 666</w:t>
            </w:r>
          </w:p>
        </w:tc>
      </w:tr>
      <w:tr w:rsidR="00FD06F3">
        <w:trPr>
          <w:trHeight w:val="340"/>
          <w:jc w:val="center"/>
        </w:trPr>
        <w:tc>
          <w:tcPr>
            <w:tcW w:w="6236" w:type="dxa"/>
            <w:vAlign w:val="bottom"/>
          </w:tcPr>
          <w:p w:rsidR="00FD06F3" w:rsidRDefault="00FD06F3">
            <w:pPr>
              <w:pStyle w:val="Tabletext"/>
              <w:widowControl w:val="0"/>
              <w:ind w:left="5" w:right="-108" w:hanging="113"/>
              <w:jc w:val="left"/>
            </w:pPr>
          </w:p>
        </w:tc>
        <w:tc>
          <w:tcPr>
            <w:tcW w:w="1701" w:type="dxa"/>
            <w:tcBorders>
              <w:top w:val="single" w:sz="6" w:space="0" w:color="auto"/>
              <w:bottom w:val="single" w:sz="12" w:space="0" w:color="auto"/>
            </w:tcBorders>
            <w:vAlign w:val="bottom"/>
          </w:tcPr>
          <w:p w:rsidR="00FD06F3" w:rsidRDefault="0054425B">
            <w:pPr>
              <w:tabs>
                <w:tab w:val="decimal" w:pos="1247"/>
              </w:tabs>
              <w:jc w:val="left"/>
              <w:rPr>
                <w:b/>
                <w:sz w:val="18"/>
                <w:szCs w:val="18"/>
              </w:rPr>
            </w:pPr>
            <w:r>
              <w:rPr>
                <w:b/>
                <w:sz w:val="18"/>
                <w:szCs w:val="18"/>
              </w:rPr>
              <w:t>13 068 604</w:t>
            </w:r>
          </w:p>
        </w:tc>
        <w:tc>
          <w:tcPr>
            <w:tcW w:w="1701" w:type="dxa"/>
            <w:tcBorders>
              <w:top w:val="single" w:sz="6" w:space="0" w:color="auto"/>
              <w:bottom w:val="single" w:sz="12" w:space="0" w:color="auto"/>
            </w:tcBorders>
            <w:vAlign w:val="bottom"/>
          </w:tcPr>
          <w:p w:rsidR="00FD06F3" w:rsidRDefault="0054425B">
            <w:pPr>
              <w:tabs>
                <w:tab w:val="decimal" w:pos="1247"/>
              </w:tabs>
              <w:jc w:val="left"/>
              <w:rPr>
                <w:b/>
                <w:sz w:val="18"/>
                <w:szCs w:val="18"/>
              </w:rPr>
            </w:pPr>
            <w:r>
              <w:rPr>
                <w:b/>
                <w:sz w:val="18"/>
                <w:szCs w:val="18"/>
              </w:rPr>
              <w:t>13 333 483</w:t>
            </w:r>
          </w:p>
        </w:tc>
      </w:tr>
    </w:tbl>
    <w:p w:rsidR="00FD06F3" w:rsidRDefault="00FD06F3">
      <w:pPr>
        <w:widowControl w:val="0"/>
      </w:pPr>
    </w:p>
    <w:p w:rsidR="00FD06F3" w:rsidRDefault="0054425B">
      <w:pPr>
        <w:widowControl w:val="0"/>
      </w:pPr>
      <w:r>
        <w:t xml:space="preserve">Готовая продукция и товары Группы реализуются большей частью связанной стороне, выступающей в качестве единого торгового дома для всех кондитерских компаний, подконтрольных Группе «Гута». </w:t>
      </w:r>
    </w:p>
    <w:p w:rsidR="00FD06F3" w:rsidRDefault="00FD06F3">
      <w:pPr>
        <w:widowControl w:val="0"/>
        <w:rPr>
          <w:caps/>
        </w:rPr>
      </w:pPr>
    </w:p>
    <w:p w:rsidR="00FD06F3" w:rsidRDefault="0054425B">
      <w:pPr>
        <w:pStyle w:val="2"/>
      </w:pPr>
      <w:bookmarkStart w:id="145" w:name="_Toc387743869"/>
      <w:r>
        <w:t>18.3</w:t>
      </w:r>
      <w:r>
        <w:tab/>
        <w:t>Приобретение товаров и услуг</w:t>
      </w:r>
      <w:bookmarkEnd w:id="145"/>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widowControl w:val="0"/>
              <w:ind w:left="5" w:right="-108" w:hanging="113"/>
              <w:jc w:val="left"/>
              <w:rPr>
                <w:b/>
                <w:bCs/>
                <w:sz w:val="18"/>
                <w:szCs w:val="18"/>
              </w:rPr>
            </w:pPr>
          </w:p>
        </w:tc>
        <w:tc>
          <w:tcPr>
            <w:tcW w:w="1701" w:type="dxa"/>
            <w:tcBorders>
              <w:bottom w:val="single" w:sz="6" w:space="0" w:color="auto"/>
            </w:tcBorders>
            <w:vAlign w:val="bottom"/>
          </w:tcPr>
          <w:p w:rsidR="00FD06F3" w:rsidRDefault="0054425B">
            <w:pPr>
              <w:widowControl w:val="0"/>
              <w:ind w:left="-108" w:right="-108"/>
              <w:jc w:val="center"/>
              <w:rPr>
                <w:b/>
                <w:bCs/>
                <w:sz w:val="18"/>
                <w:szCs w:val="18"/>
              </w:rPr>
            </w:pPr>
            <w:r>
              <w:rPr>
                <w:b/>
                <w:bCs/>
                <w:sz w:val="18"/>
                <w:szCs w:val="18"/>
              </w:rPr>
              <w:t xml:space="preserve">2017 </w:t>
            </w:r>
            <w:r>
              <w:rPr>
                <w:b/>
                <w:bCs/>
                <w:sz w:val="18"/>
                <w:szCs w:val="18"/>
              </w:rPr>
              <w:t>г.</w:t>
            </w:r>
          </w:p>
        </w:tc>
        <w:tc>
          <w:tcPr>
            <w:tcW w:w="1701" w:type="dxa"/>
            <w:tcBorders>
              <w:bottom w:val="single" w:sz="6" w:space="0" w:color="auto"/>
            </w:tcBorders>
            <w:vAlign w:val="bottom"/>
          </w:tcPr>
          <w:p w:rsidR="00FD06F3" w:rsidRDefault="0054425B">
            <w:pPr>
              <w:widowControl w:val="0"/>
              <w:ind w:left="-108" w:right="-108"/>
              <w:jc w:val="center"/>
              <w:rPr>
                <w:b/>
                <w:bCs/>
                <w:sz w:val="18"/>
                <w:szCs w:val="18"/>
              </w:rPr>
            </w:pPr>
            <w:r>
              <w:rPr>
                <w:b/>
                <w:bCs/>
                <w:sz w:val="18"/>
                <w:szCs w:val="18"/>
              </w:rPr>
              <w:t>2016 г.</w:t>
            </w:r>
          </w:p>
        </w:tc>
      </w:tr>
      <w:tr w:rsidR="00FD06F3">
        <w:trPr>
          <w:trHeight w:val="340"/>
          <w:jc w:val="center"/>
        </w:trPr>
        <w:tc>
          <w:tcPr>
            <w:tcW w:w="6236" w:type="dxa"/>
            <w:vAlign w:val="bottom"/>
          </w:tcPr>
          <w:p w:rsidR="00FD06F3" w:rsidRDefault="0054425B">
            <w:pPr>
              <w:pStyle w:val="Tabletext"/>
              <w:widowControl w:val="0"/>
              <w:ind w:left="5" w:right="-108" w:hanging="113"/>
              <w:jc w:val="left"/>
              <w:rPr>
                <w:b/>
                <w:bCs/>
              </w:rPr>
            </w:pPr>
            <w:r>
              <w:t>Приобретение товаров</w:t>
            </w:r>
          </w:p>
        </w:tc>
        <w:tc>
          <w:tcPr>
            <w:tcW w:w="1701" w:type="dxa"/>
            <w:tcBorders>
              <w:top w:val="single" w:sz="6" w:space="0" w:color="auto"/>
            </w:tcBorders>
            <w:vAlign w:val="bottom"/>
          </w:tcPr>
          <w:p w:rsidR="00FD06F3" w:rsidRDefault="0054425B">
            <w:pPr>
              <w:pStyle w:val="Tabletext"/>
              <w:widowControl w:val="0"/>
              <w:tabs>
                <w:tab w:val="decimal" w:pos="1247"/>
              </w:tabs>
              <w:jc w:val="left"/>
            </w:pPr>
            <w:r>
              <w:t>4 842 976</w:t>
            </w:r>
          </w:p>
        </w:tc>
        <w:tc>
          <w:tcPr>
            <w:tcW w:w="1701" w:type="dxa"/>
            <w:tcBorders>
              <w:top w:val="single" w:sz="6" w:space="0" w:color="auto"/>
            </w:tcBorders>
            <w:vAlign w:val="bottom"/>
          </w:tcPr>
          <w:p w:rsidR="00FD06F3" w:rsidRDefault="0054425B">
            <w:pPr>
              <w:pStyle w:val="Tabletext"/>
              <w:widowControl w:val="0"/>
              <w:tabs>
                <w:tab w:val="decimal" w:pos="1247"/>
              </w:tabs>
              <w:jc w:val="left"/>
            </w:pPr>
            <w:r>
              <w:t>6 751 486</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Приобретение услуг</w:t>
            </w:r>
          </w:p>
        </w:tc>
        <w:tc>
          <w:tcPr>
            <w:tcW w:w="1701" w:type="dxa"/>
            <w:tcBorders>
              <w:bottom w:val="single" w:sz="6" w:space="0" w:color="auto"/>
            </w:tcBorders>
            <w:vAlign w:val="bottom"/>
          </w:tcPr>
          <w:p w:rsidR="00FD06F3" w:rsidRDefault="0054425B">
            <w:pPr>
              <w:pStyle w:val="Tabletext"/>
              <w:widowControl w:val="0"/>
              <w:tabs>
                <w:tab w:val="decimal" w:pos="1247"/>
              </w:tabs>
              <w:jc w:val="left"/>
            </w:pPr>
            <w:r>
              <w:t>332 490</w:t>
            </w:r>
          </w:p>
        </w:tc>
        <w:tc>
          <w:tcPr>
            <w:tcW w:w="1701" w:type="dxa"/>
            <w:tcBorders>
              <w:bottom w:val="single" w:sz="6" w:space="0" w:color="auto"/>
            </w:tcBorders>
            <w:vAlign w:val="bottom"/>
          </w:tcPr>
          <w:p w:rsidR="00FD06F3" w:rsidRDefault="0054425B">
            <w:pPr>
              <w:pStyle w:val="Tabletext"/>
              <w:widowControl w:val="0"/>
              <w:tabs>
                <w:tab w:val="decimal" w:pos="1247"/>
              </w:tabs>
              <w:jc w:val="left"/>
            </w:pPr>
            <w:r>
              <w:t>304 210</w:t>
            </w:r>
          </w:p>
        </w:tc>
      </w:tr>
      <w:tr w:rsidR="00FD06F3">
        <w:trPr>
          <w:trHeight w:val="340"/>
          <w:jc w:val="center"/>
        </w:trPr>
        <w:tc>
          <w:tcPr>
            <w:tcW w:w="6236" w:type="dxa"/>
            <w:tcBorders>
              <w:bottom w:val="nil"/>
            </w:tcBorders>
            <w:vAlign w:val="bottom"/>
          </w:tcPr>
          <w:p w:rsidR="00FD06F3" w:rsidRDefault="00FD06F3">
            <w:pPr>
              <w:pStyle w:val="Tabletext"/>
              <w:widowControl w:val="0"/>
              <w:ind w:left="5" w:right="-108" w:hanging="113"/>
              <w:jc w:val="left"/>
            </w:pPr>
          </w:p>
        </w:tc>
        <w:tc>
          <w:tcPr>
            <w:tcW w:w="1701" w:type="dxa"/>
            <w:tcBorders>
              <w:top w:val="single" w:sz="6" w:space="0" w:color="auto"/>
              <w:bottom w:val="single" w:sz="12" w:space="0" w:color="auto"/>
            </w:tcBorders>
            <w:vAlign w:val="bottom"/>
          </w:tcPr>
          <w:p w:rsidR="00FD06F3" w:rsidRDefault="0054425B">
            <w:pPr>
              <w:pStyle w:val="Tabletext"/>
              <w:widowControl w:val="0"/>
              <w:tabs>
                <w:tab w:val="decimal" w:pos="1247"/>
              </w:tabs>
              <w:jc w:val="left"/>
              <w:rPr>
                <w:b/>
              </w:rPr>
            </w:pPr>
            <w:r>
              <w:rPr>
                <w:b/>
              </w:rPr>
              <w:t>5 175 466</w:t>
            </w:r>
          </w:p>
        </w:tc>
        <w:tc>
          <w:tcPr>
            <w:tcW w:w="1701" w:type="dxa"/>
            <w:tcBorders>
              <w:top w:val="single" w:sz="6" w:space="0" w:color="auto"/>
              <w:bottom w:val="single" w:sz="12" w:space="0" w:color="auto"/>
            </w:tcBorders>
            <w:vAlign w:val="bottom"/>
          </w:tcPr>
          <w:p w:rsidR="00FD06F3" w:rsidRDefault="0054425B">
            <w:pPr>
              <w:pStyle w:val="Tabletext"/>
              <w:widowControl w:val="0"/>
              <w:tabs>
                <w:tab w:val="decimal" w:pos="1247"/>
              </w:tabs>
              <w:jc w:val="left"/>
              <w:rPr>
                <w:b/>
              </w:rPr>
            </w:pPr>
            <w:r>
              <w:rPr>
                <w:b/>
              </w:rPr>
              <w:t>7 055 696</w:t>
            </w:r>
          </w:p>
        </w:tc>
      </w:tr>
    </w:tbl>
    <w:p w:rsidR="00FD06F3" w:rsidRDefault="00FD06F3">
      <w:pPr>
        <w:widowControl w:val="0"/>
      </w:pPr>
    </w:p>
    <w:p w:rsidR="00FD06F3" w:rsidRDefault="0054425B">
      <w:pPr>
        <w:widowControl w:val="0"/>
      </w:pPr>
      <w:r>
        <w:t>В основном приобретались следующие услуги:</w:t>
      </w:r>
    </w:p>
    <w:p w:rsidR="00FD06F3" w:rsidRDefault="0054425B">
      <w:pPr>
        <w:widowControl w:val="0"/>
        <w:spacing w:before="120"/>
        <w:ind w:left="567" w:hanging="567"/>
      </w:pPr>
      <w:r>
        <w:t>(1)</w:t>
      </w:r>
      <w:r>
        <w:tab/>
        <w:t xml:space="preserve">Управленческие услуги. Группа передала функции единоличного исполнительного органа и </w:t>
      </w:r>
      <w:r>
        <w:t>оперативного управления связанной стороне. В 2017 году за управленческие услуги связанной стороне было выплачено 196 688 тыс. руб. (2016 год: 196 688 тыс. руб.).</w:t>
      </w:r>
    </w:p>
    <w:p w:rsidR="00FD06F3" w:rsidRDefault="0054425B">
      <w:pPr>
        <w:widowControl w:val="0"/>
        <w:spacing w:before="120"/>
        <w:ind w:left="567" w:hanging="567"/>
      </w:pPr>
      <w:r>
        <w:t>(2)</w:t>
      </w:r>
      <w:r>
        <w:tab/>
        <w:t>Группа заключила договор страхования товарно-материальных запасов и имущества со связанной</w:t>
      </w:r>
      <w:r>
        <w:t xml:space="preserve"> стороной. Соответствующие расходы на страхование составили 8 616 тыс. руб. (2016 год: 3 569 тыс. руб.). </w:t>
      </w:r>
    </w:p>
    <w:p w:rsidR="00FD06F3" w:rsidRDefault="0054425B">
      <w:pPr>
        <w:widowControl w:val="0"/>
        <w:spacing w:before="120"/>
        <w:ind w:left="567" w:hanging="567"/>
      </w:pPr>
      <w:r>
        <w:t>(3)</w:t>
      </w:r>
      <w:r>
        <w:tab/>
        <w:t xml:space="preserve">Прочие услуги, в основном, представлены использованием товарных знаков связанных сторон. </w:t>
      </w:r>
    </w:p>
    <w:p w:rsidR="00FD06F3" w:rsidRDefault="00FD06F3">
      <w:pPr>
        <w:widowControl w:val="0"/>
      </w:pPr>
    </w:p>
    <w:p w:rsidR="00FD06F3" w:rsidRDefault="0054425B">
      <w:pPr>
        <w:pStyle w:val="2"/>
      </w:pPr>
      <w:bookmarkStart w:id="146" w:name="_Toc387743870"/>
      <w:r>
        <w:t>18.4</w:t>
      </w:r>
      <w:r>
        <w:tab/>
      </w:r>
      <w:bookmarkEnd w:id="146"/>
      <w:r>
        <w:t>Облигации связанной стороны</w:t>
      </w:r>
    </w:p>
    <w:p w:rsidR="00FD06F3" w:rsidRDefault="00FD06F3">
      <w:pPr>
        <w:widowControl w:val="0"/>
      </w:pPr>
    </w:p>
    <w:p w:rsidR="00FD06F3" w:rsidRDefault="0054425B">
      <w:pPr>
        <w:widowControl w:val="0"/>
      </w:pPr>
      <w:r>
        <w:t>В 2015 году Группа пр</w:t>
      </w:r>
      <w:r>
        <w:t xml:space="preserve">иобрела облигации связанной стороны со сроком погашения в апреле 2023 года на сумму 227 999 тыс. руб. Облигации переоцениваются по справедливой стоимости, сумма переоценки за 2017 год составила прибыль в сумме 1 579 тыс. руб. (2016 год: прибыль 1 302 тыс. </w:t>
      </w:r>
      <w:r>
        <w:t>руб.). Купонный доход за 2017 год составил 25 707 тыс. руб. (2016 год: 26 640 тыс. руб.) по ставке 10,5%. В октябре 2017 года облигации были погашены.</w:t>
      </w:r>
    </w:p>
    <w:p w:rsidR="00FD06F3" w:rsidRDefault="0054425B">
      <w:pPr>
        <w:pStyle w:val="13"/>
      </w:pPr>
      <w:r>
        <w:br w:type="page"/>
      </w:r>
      <w:bookmarkStart w:id="147" w:name="_Toc387743871"/>
      <w:r>
        <w:lastRenderedPageBreak/>
        <w:t>18.</w:t>
      </w:r>
      <w:r>
        <w:tab/>
        <w:t>Операции со связанными сторонами (</w:t>
      </w:r>
      <w:r>
        <w:rPr>
          <w:caps w:val="0"/>
        </w:rPr>
        <w:t>продолжение</w:t>
      </w:r>
      <w:r>
        <w:t>)</w:t>
      </w:r>
      <w:bookmarkEnd w:id="147"/>
      <w:r>
        <w:t xml:space="preserve"> </w:t>
      </w:r>
    </w:p>
    <w:p w:rsidR="00FD06F3" w:rsidRDefault="00FD06F3">
      <w:pPr>
        <w:rPr>
          <w:sz w:val="18"/>
        </w:rPr>
      </w:pPr>
    </w:p>
    <w:p w:rsidR="00FD06F3" w:rsidRDefault="0054425B">
      <w:pPr>
        <w:pStyle w:val="2"/>
      </w:pPr>
      <w:bookmarkStart w:id="148" w:name="_Toc387743872"/>
      <w:r>
        <w:t>18.5</w:t>
      </w:r>
      <w:r>
        <w:tab/>
        <w:t>Остатки на конец года по счетам расчетов со св</w:t>
      </w:r>
      <w:r>
        <w:t>язанными сторонами</w:t>
      </w:r>
      <w:bookmarkEnd w:id="148"/>
      <w:r>
        <w:t xml:space="preserve"> </w:t>
      </w:r>
    </w:p>
    <w:p w:rsidR="00FD06F3" w:rsidRDefault="00FD06F3">
      <w:pPr>
        <w:rPr>
          <w:sz w:val="18"/>
        </w:rPr>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Default="00FD06F3">
            <w:pPr>
              <w:widowControl w:val="0"/>
              <w:ind w:left="5" w:right="-108" w:hanging="113"/>
              <w:jc w:val="left"/>
              <w:rPr>
                <w:b/>
                <w:bCs/>
                <w:sz w:val="18"/>
                <w:szCs w:val="18"/>
              </w:rPr>
            </w:pPr>
          </w:p>
        </w:tc>
        <w:tc>
          <w:tcPr>
            <w:tcW w:w="1701" w:type="dxa"/>
            <w:tcBorders>
              <w:bottom w:val="single" w:sz="6" w:space="0" w:color="auto"/>
            </w:tcBorders>
            <w:vAlign w:val="bottom"/>
          </w:tcPr>
          <w:p w:rsidR="00FD06F3" w:rsidRDefault="0054425B">
            <w:pPr>
              <w:widowControl w:val="0"/>
              <w:ind w:left="-108" w:right="-108"/>
              <w:jc w:val="center"/>
              <w:rPr>
                <w:b/>
                <w:bCs/>
                <w:sz w:val="18"/>
                <w:szCs w:val="18"/>
              </w:rPr>
            </w:pPr>
            <w:r>
              <w:rPr>
                <w:b/>
                <w:bCs/>
                <w:sz w:val="18"/>
                <w:szCs w:val="18"/>
              </w:rPr>
              <w:t>2017 г.</w:t>
            </w:r>
          </w:p>
        </w:tc>
        <w:tc>
          <w:tcPr>
            <w:tcW w:w="1701" w:type="dxa"/>
            <w:tcBorders>
              <w:bottom w:val="single" w:sz="6" w:space="0" w:color="auto"/>
            </w:tcBorders>
            <w:vAlign w:val="bottom"/>
          </w:tcPr>
          <w:p w:rsidR="00FD06F3" w:rsidRDefault="0054425B">
            <w:pPr>
              <w:widowControl w:val="0"/>
              <w:ind w:left="-108" w:right="-108"/>
              <w:jc w:val="center"/>
              <w:rPr>
                <w:b/>
                <w:bCs/>
                <w:sz w:val="18"/>
                <w:szCs w:val="18"/>
              </w:rPr>
            </w:pPr>
            <w:r>
              <w:rPr>
                <w:b/>
                <w:bCs/>
                <w:sz w:val="18"/>
                <w:szCs w:val="18"/>
              </w:rPr>
              <w:t>2016 г.</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Долгосрочная дебиторская задолженность по финансированию проекта «Золотой остров» (Прим. 4, 18.9)</w:t>
            </w:r>
          </w:p>
        </w:tc>
        <w:tc>
          <w:tcPr>
            <w:tcW w:w="1701" w:type="dxa"/>
            <w:tcBorders>
              <w:top w:val="single" w:sz="6" w:space="0" w:color="auto"/>
            </w:tcBorders>
            <w:vAlign w:val="bottom"/>
          </w:tcPr>
          <w:p w:rsidR="00FD06F3" w:rsidRDefault="0054425B">
            <w:pPr>
              <w:tabs>
                <w:tab w:val="decimal" w:pos="1247"/>
              </w:tabs>
              <w:jc w:val="left"/>
              <w:rPr>
                <w:sz w:val="18"/>
                <w:szCs w:val="18"/>
              </w:rPr>
            </w:pPr>
            <w:r>
              <w:rPr>
                <w:sz w:val="18"/>
                <w:szCs w:val="18"/>
              </w:rPr>
              <w:t>1 655 113</w:t>
            </w:r>
          </w:p>
        </w:tc>
        <w:tc>
          <w:tcPr>
            <w:tcW w:w="1701" w:type="dxa"/>
            <w:tcBorders>
              <w:top w:val="single" w:sz="6" w:space="0" w:color="auto"/>
            </w:tcBorders>
            <w:vAlign w:val="bottom"/>
          </w:tcPr>
          <w:p w:rsidR="00FD06F3" w:rsidRDefault="0054425B">
            <w:pPr>
              <w:tabs>
                <w:tab w:val="decimal" w:pos="1247"/>
              </w:tabs>
              <w:jc w:val="left"/>
              <w:rPr>
                <w:sz w:val="18"/>
                <w:szCs w:val="18"/>
              </w:rPr>
            </w:pPr>
            <w:r>
              <w:rPr>
                <w:sz w:val="18"/>
                <w:szCs w:val="18"/>
              </w:rPr>
              <w:t>1 583 290</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Долгосрочные займы, выданные связанным сторонам (А)</w:t>
            </w:r>
          </w:p>
        </w:tc>
        <w:tc>
          <w:tcPr>
            <w:tcW w:w="1701" w:type="dxa"/>
            <w:vAlign w:val="bottom"/>
          </w:tcPr>
          <w:p w:rsidR="00FD06F3" w:rsidRDefault="0054425B">
            <w:pPr>
              <w:tabs>
                <w:tab w:val="decimal" w:pos="1247"/>
              </w:tabs>
              <w:jc w:val="left"/>
              <w:rPr>
                <w:sz w:val="18"/>
                <w:szCs w:val="18"/>
              </w:rPr>
            </w:pPr>
            <w:r>
              <w:rPr>
                <w:sz w:val="18"/>
                <w:szCs w:val="18"/>
              </w:rPr>
              <w:t>1 131 495</w:t>
            </w:r>
          </w:p>
        </w:tc>
        <w:tc>
          <w:tcPr>
            <w:tcW w:w="1701" w:type="dxa"/>
            <w:vAlign w:val="bottom"/>
          </w:tcPr>
          <w:p w:rsidR="00FD06F3" w:rsidRDefault="0054425B">
            <w:pPr>
              <w:tabs>
                <w:tab w:val="decimal" w:pos="1247"/>
              </w:tabs>
              <w:jc w:val="left"/>
              <w:rPr>
                <w:sz w:val="18"/>
                <w:szCs w:val="18"/>
              </w:rPr>
            </w:pPr>
            <w:r>
              <w:rPr>
                <w:sz w:val="18"/>
                <w:szCs w:val="18"/>
              </w:rPr>
              <w:t>1 282 516</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 xml:space="preserve">Прочая финансовые активы </w:t>
            </w:r>
            <w:r>
              <w:t>связанной стороны (Прим. 18.4)</w:t>
            </w:r>
          </w:p>
        </w:tc>
        <w:tc>
          <w:tcPr>
            <w:tcW w:w="1701" w:type="dxa"/>
            <w:vAlign w:val="bottom"/>
          </w:tcPr>
          <w:p w:rsidR="00FD06F3" w:rsidRDefault="0054425B">
            <w:pPr>
              <w:tabs>
                <w:tab w:val="decimal" w:pos="1247"/>
              </w:tabs>
              <w:jc w:val="left"/>
              <w:rPr>
                <w:sz w:val="18"/>
                <w:szCs w:val="18"/>
              </w:rPr>
            </w:pPr>
            <w:r>
              <w:rPr>
                <w:sz w:val="18"/>
                <w:szCs w:val="18"/>
              </w:rPr>
              <w:t>–</w:t>
            </w:r>
          </w:p>
        </w:tc>
        <w:tc>
          <w:tcPr>
            <w:tcW w:w="1701" w:type="dxa"/>
            <w:vAlign w:val="bottom"/>
          </w:tcPr>
          <w:p w:rsidR="00FD06F3" w:rsidRDefault="0054425B">
            <w:pPr>
              <w:tabs>
                <w:tab w:val="decimal" w:pos="1247"/>
              </w:tabs>
              <w:jc w:val="left"/>
              <w:rPr>
                <w:sz w:val="18"/>
                <w:szCs w:val="18"/>
              </w:rPr>
            </w:pPr>
            <w:r>
              <w:rPr>
                <w:sz w:val="18"/>
                <w:szCs w:val="18"/>
              </w:rPr>
              <w:t>251 478</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Торговая и прочая дебиторская задолженность (Прим. 8)</w:t>
            </w:r>
          </w:p>
        </w:tc>
        <w:tc>
          <w:tcPr>
            <w:tcW w:w="1701" w:type="dxa"/>
            <w:vAlign w:val="bottom"/>
          </w:tcPr>
          <w:p w:rsidR="00FD06F3" w:rsidRDefault="0054425B">
            <w:pPr>
              <w:widowControl w:val="0"/>
              <w:tabs>
                <w:tab w:val="decimal" w:pos="1247"/>
              </w:tabs>
              <w:jc w:val="left"/>
              <w:rPr>
                <w:sz w:val="18"/>
                <w:szCs w:val="18"/>
              </w:rPr>
            </w:pPr>
            <w:r>
              <w:rPr>
                <w:sz w:val="18"/>
                <w:szCs w:val="18"/>
              </w:rPr>
              <w:t>3 733 934</w:t>
            </w:r>
          </w:p>
        </w:tc>
        <w:tc>
          <w:tcPr>
            <w:tcW w:w="1701" w:type="dxa"/>
            <w:vAlign w:val="bottom"/>
          </w:tcPr>
          <w:p w:rsidR="00FD06F3" w:rsidRDefault="0054425B">
            <w:pPr>
              <w:widowControl w:val="0"/>
              <w:tabs>
                <w:tab w:val="decimal" w:pos="1247"/>
              </w:tabs>
              <w:jc w:val="left"/>
              <w:rPr>
                <w:sz w:val="18"/>
                <w:szCs w:val="18"/>
              </w:rPr>
            </w:pPr>
            <w:r>
              <w:rPr>
                <w:sz w:val="18"/>
                <w:szCs w:val="18"/>
              </w:rPr>
              <w:t>3 274 130</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Торговая и прочая кредиторская задолженность (Б)</w:t>
            </w:r>
          </w:p>
        </w:tc>
        <w:tc>
          <w:tcPr>
            <w:tcW w:w="1701" w:type="dxa"/>
            <w:vAlign w:val="bottom"/>
          </w:tcPr>
          <w:p w:rsidR="00FD06F3" w:rsidRDefault="0054425B">
            <w:pPr>
              <w:widowControl w:val="0"/>
              <w:tabs>
                <w:tab w:val="decimal" w:pos="1247"/>
              </w:tabs>
              <w:jc w:val="left"/>
              <w:rPr>
                <w:sz w:val="18"/>
                <w:szCs w:val="18"/>
              </w:rPr>
            </w:pPr>
            <w:r>
              <w:rPr>
                <w:sz w:val="18"/>
                <w:szCs w:val="18"/>
              </w:rPr>
              <w:t>(1 219 726)</w:t>
            </w:r>
          </w:p>
        </w:tc>
        <w:tc>
          <w:tcPr>
            <w:tcW w:w="1701" w:type="dxa"/>
            <w:vAlign w:val="bottom"/>
          </w:tcPr>
          <w:p w:rsidR="00FD06F3" w:rsidRDefault="0054425B">
            <w:pPr>
              <w:widowControl w:val="0"/>
              <w:tabs>
                <w:tab w:val="decimal" w:pos="1247"/>
              </w:tabs>
              <w:jc w:val="left"/>
              <w:rPr>
                <w:sz w:val="18"/>
                <w:szCs w:val="18"/>
              </w:rPr>
            </w:pPr>
            <w:r>
              <w:rPr>
                <w:sz w:val="18"/>
                <w:szCs w:val="18"/>
              </w:rPr>
              <w:t>(1 862 536)</w:t>
            </w:r>
          </w:p>
        </w:tc>
      </w:tr>
    </w:tbl>
    <w:p w:rsidR="00FD06F3" w:rsidRDefault="00FD06F3"/>
    <w:p w:rsidR="00FD06F3" w:rsidRDefault="0054425B">
      <w:pPr>
        <w:widowControl w:val="0"/>
      </w:pPr>
      <w:r>
        <w:t xml:space="preserve">Непогашенные остатки на конец года не имеют обеспечения, а </w:t>
      </w:r>
      <w:r>
        <w:t>расчеты производятся в денежной форме.</w:t>
      </w:r>
    </w:p>
    <w:p w:rsidR="00FD06F3" w:rsidRDefault="0054425B">
      <w:pPr>
        <w:widowControl w:val="0"/>
        <w:spacing w:before="120"/>
        <w:ind w:left="567" w:hanging="567"/>
      </w:pPr>
      <w:r>
        <w:t>(А)</w:t>
      </w:r>
      <w:r>
        <w:tab/>
        <w:t xml:space="preserve">Займы, выданные связанным сторонам по ставке 8%-10% годовых, подлежат погашению в 2019 году. Данные займы учитывались по справедливой стоимости с применением ставки дисконтирования в размере 11,8%. В 2017 году </w:t>
      </w:r>
      <w:r>
        <w:t>новые займы Группа не выдавала, ранее выданные займы были погашены на сумму 239 500</w:t>
      </w:r>
      <w:r>
        <w:rPr>
          <w:lang w:val="en-US"/>
        </w:rPr>
        <w:t> </w:t>
      </w:r>
      <w:r>
        <w:t>тыс. руб., а также погашены проценты на сумму 49 907 тыс. руб. Сумма начисленных процентных доходов в 2017 году составила 81 312 тыс. руб. (2016 год: 115 626 тыс. руб.), ам</w:t>
      </w:r>
      <w:r>
        <w:t xml:space="preserve">ортизация дисконта в составе </w:t>
      </w:r>
      <w:r>
        <w:rPr>
          <w:spacing w:val="-2"/>
        </w:rPr>
        <w:t>финансовых доходов в 2017 году составила 57 074 тыс. руб. (2016 год – 60 640 тыс. руб.). Справедливая стоимость данных займов на 31 декабря 2017 г. составляет 1</w:t>
      </w:r>
      <w:r>
        <w:rPr>
          <w:spacing w:val="-2"/>
          <w:lang w:val="en-US"/>
        </w:rPr>
        <w:t> </w:t>
      </w:r>
      <w:r>
        <w:rPr>
          <w:spacing w:val="-2"/>
        </w:rPr>
        <w:t>167 652 тыс. руб. (2016 год:</w:t>
      </w:r>
      <w:r>
        <w:t xml:space="preserve"> 1 282 516</w:t>
      </w:r>
      <w:r>
        <w:rPr>
          <w:lang w:val="en-US"/>
        </w:rPr>
        <w:t> </w:t>
      </w:r>
      <w:r>
        <w:t>тыс.</w:t>
      </w:r>
      <w:r>
        <w:rPr>
          <w:lang w:val="en-US"/>
        </w:rPr>
        <w:t> </w:t>
      </w:r>
      <w:r>
        <w:t xml:space="preserve">руб.), см. Примечание </w:t>
      </w:r>
      <w:r>
        <w:t xml:space="preserve">21. </w:t>
      </w:r>
    </w:p>
    <w:p w:rsidR="00FD06F3" w:rsidRDefault="0054425B">
      <w:pPr>
        <w:widowControl w:val="0"/>
        <w:spacing w:before="120"/>
        <w:ind w:left="567" w:hanging="567"/>
      </w:pPr>
      <w:r>
        <w:t>(Б)</w:t>
      </w:r>
      <w:r>
        <w:tab/>
        <w:t xml:space="preserve">Текущая кредиторская задолженность в основном представляет задолженность за сырье и материалы. </w:t>
      </w:r>
    </w:p>
    <w:p w:rsidR="00FD06F3" w:rsidRDefault="00FD06F3">
      <w:bookmarkStart w:id="149" w:name="_Toc387743873"/>
    </w:p>
    <w:p w:rsidR="00FD06F3" w:rsidRDefault="0054425B">
      <w:pPr>
        <w:pStyle w:val="2"/>
      </w:pPr>
      <w:r>
        <w:t>18.6</w:t>
      </w:r>
      <w:r>
        <w:tab/>
        <w:t>Операции со связанным банком</w:t>
      </w:r>
      <w:bookmarkEnd w:id="149"/>
    </w:p>
    <w:p w:rsidR="00FD06F3" w:rsidRDefault="00FD06F3"/>
    <w:p w:rsidR="00FD06F3" w:rsidRDefault="0054425B">
      <w:pPr>
        <w:widowControl w:val="0"/>
      </w:pPr>
      <w:r>
        <w:t xml:space="preserve">Все основные денежные поступления и платежи Группы проходят через связанный банк. </w:t>
      </w:r>
    </w:p>
    <w:p w:rsidR="00FD06F3" w:rsidRDefault="00FD06F3"/>
    <w:p w:rsidR="00FD06F3" w:rsidRDefault="0054425B">
      <w:pPr>
        <w:pStyle w:val="2"/>
      </w:pPr>
      <w:bookmarkStart w:id="150" w:name="_Toc387743874"/>
      <w:r>
        <w:t>18.7</w:t>
      </w:r>
      <w:r>
        <w:tab/>
        <w:t>Вознаграждение ключевому у</w:t>
      </w:r>
      <w:r>
        <w:t>правленческому персоналу</w:t>
      </w:r>
      <w:bookmarkEnd w:id="150"/>
    </w:p>
    <w:p w:rsidR="00FD06F3" w:rsidRDefault="00FD06F3"/>
    <w:p w:rsidR="00FD06F3" w:rsidRDefault="0054425B">
      <w:pPr>
        <w:widowControl w:val="0"/>
      </w:pPr>
      <w:r>
        <w:t>По состоянию на 31 декабря 2017 и 2016 гг. ключевой управленческий персонал представлен членами Совета директоров Группы в составе 7 человек, не получающих от Группы дополнительных выплат и льгот. Все указанные лица являются сотру</w:t>
      </w:r>
      <w:r>
        <w:t>дниками связанной управляющей компании, поэтому Компания не выплачивает им вознаграждение напрямую.</w:t>
      </w:r>
    </w:p>
    <w:p w:rsidR="00FD06F3" w:rsidRDefault="00FD06F3"/>
    <w:p w:rsidR="00FD06F3" w:rsidRDefault="0054425B">
      <w:pPr>
        <w:pStyle w:val="2"/>
      </w:pPr>
      <w:bookmarkStart w:id="151" w:name="_Toc387743875"/>
      <w:r>
        <w:t>18.8</w:t>
      </w:r>
      <w:r>
        <w:tab/>
        <w:t>Финансовые гарантии</w:t>
      </w:r>
      <w:bookmarkEnd w:id="151"/>
    </w:p>
    <w:p w:rsidR="00FD06F3" w:rsidRDefault="00FD06F3"/>
    <w:p w:rsidR="00FD06F3" w:rsidRDefault="0054425B">
      <w:pPr>
        <w:widowControl w:val="0"/>
      </w:pPr>
      <w:r>
        <w:t>По состоянию на 31 декабря 2017 г. Группа выдала гарантии в отношении облигационного займа связанных сторон в размере 511 940 тыс</w:t>
      </w:r>
      <w:r>
        <w:t>. руб. с офертой в апреле 2016 года (2015 год: 511 795 тыс. руб.). Следующая оферта установлена на апрель 2018 года. Прочих гарантий Группы в отношении займов и аккредитивов связанных сторон по состоянию на 31 декабря 2017 г. и 31 декабря 2016 г. нет. Спра</w:t>
      </w:r>
      <w:r>
        <w:t>ведливая стоимость указанных гарантий, отраженная в консолидированной финансовой отчетности, составляет примерно 3 835 тыс. руб. (2016 год: 4 605 тыс. руб.), сроки определены с учетом погашения согласно ближайшей оферте.</w:t>
      </w:r>
    </w:p>
    <w:p w:rsidR="00FD06F3" w:rsidRDefault="00FD06F3"/>
    <w:p w:rsidR="00FD06F3" w:rsidRDefault="0054425B">
      <w:pPr>
        <w:pStyle w:val="2"/>
      </w:pPr>
      <w:bookmarkStart w:id="152" w:name="_Toc387743876"/>
      <w:r>
        <w:t>18.9</w:t>
      </w:r>
      <w:r>
        <w:tab/>
        <w:t>Финансирование проекта «Золот</w:t>
      </w:r>
      <w:r>
        <w:t>ой остров</w:t>
      </w:r>
      <w:bookmarkEnd w:id="152"/>
      <w:r>
        <w:t xml:space="preserve">» </w:t>
      </w:r>
    </w:p>
    <w:p w:rsidR="00FD06F3" w:rsidRDefault="00FD06F3"/>
    <w:p w:rsidR="00FD06F3" w:rsidRDefault="0054425B">
      <w:pPr>
        <w:widowControl w:val="0"/>
      </w:pPr>
      <w:r>
        <w:t>В 2005 году Группа, действуя от имени Группы «Гута», дала согласие на финансирование проекта «Золотой остров», целью которого является застройка земельного участка в центре Москвы, принадлежащего Группе, см. Примечание 4. Срок погашения дебито</w:t>
      </w:r>
      <w:r>
        <w:t>рской задолженности – 2019 год, но он может быть пересмотрен по соглашению сторон.</w:t>
      </w:r>
    </w:p>
    <w:p w:rsidR="00FD06F3" w:rsidRDefault="00FD06F3">
      <w:pPr>
        <w:rPr>
          <w:caps/>
        </w:rPr>
      </w:pPr>
    </w:p>
    <w:p w:rsidR="00FD06F3" w:rsidRDefault="0054425B">
      <w:pPr>
        <w:pStyle w:val="2"/>
      </w:pPr>
      <w:bookmarkStart w:id="153" w:name="_Toc387743879"/>
      <w:r>
        <w:t>18.10</w:t>
      </w:r>
      <w:r>
        <w:tab/>
        <w:t>Безвозмездная передача готовой продукции</w:t>
      </w:r>
      <w:bookmarkEnd w:id="153"/>
    </w:p>
    <w:p w:rsidR="00FD06F3" w:rsidRDefault="00FD06F3"/>
    <w:p w:rsidR="00FD06F3" w:rsidRDefault="0054425B">
      <w:pPr>
        <w:widowControl w:val="0"/>
      </w:pPr>
      <w:r>
        <w:t>В 2017 году Группа безвозмездно передала связанной стороне готовую продукцию на сумму 19 488 тыс. руб. (2016 год: 26 618 тыс</w:t>
      </w:r>
      <w:r>
        <w:t>. руб.).</w:t>
      </w:r>
    </w:p>
    <w:p w:rsidR="00FD06F3" w:rsidRDefault="00FD06F3"/>
    <w:p w:rsidR="00FD06F3" w:rsidRDefault="0054425B">
      <w:pPr>
        <w:pStyle w:val="level21"/>
        <w:jc w:val="both"/>
        <w:rPr>
          <w:rFonts w:ascii="Times New Roman" w:hAnsi="Times New Roman"/>
          <w:caps w:val="0"/>
          <w:color w:val="auto"/>
        </w:rPr>
      </w:pPr>
      <w:r>
        <w:rPr>
          <w:rFonts w:ascii="Times New Roman" w:hAnsi="Times New Roman"/>
          <w:caps w:val="0"/>
          <w:color w:val="auto"/>
        </w:rPr>
        <w:t xml:space="preserve">18.11. </w:t>
      </w:r>
      <w:r>
        <w:rPr>
          <w:rFonts w:ascii="Times New Roman" w:hAnsi="Times New Roman"/>
          <w:caps w:val="0"/>
          <w:color w:val="auto"/>
        </w:rPr>
        <w:tab/>
        <w:t>Взнос в капитал дочерней компании</w:t>
      </w:r>
    </w:p>
    <w:p w:rsidR="00FD06F3" w:rsidRDefault="00FD06F3"/>
    <w:p w:rsidR="00FD06F3" w:rsidRDefault="0054425B">
      <w:pPr>
        <w:widowControl w:val="0"/>
      </w:pPr>
      <w:r>
        <w:t>В 2016 годах Группа и связанная сторона, представляющая неконтрольную долю участия, увеличили добавочный капитал дочерней компании.</w:t>
      </w:r>
      <w:r>
        <w:br w:type="page"/>
      </w:r>
    </w:p>
    <w:p w:rsidR="00FD06F3" w:rsidRDefault="0054425B">
      <w:pPr>
        <w:pStyle w:val="13"/>
      </w:pPr>
      <w:r>
        <w:lastRenderedPageBreak/>
        <w:t>18.</w:t>
      </w:r>
      <w:r>
        <w:tab/>
        <w:t>Операции со связанными сторонами (</w:t>
      </w:r>
      <w:r>
        <w:rPr>
          <w:caps w:val="0"/>
        </w:rPr>
        <w:t>продолжение</w:t>
      </w:r>
      <w:r>
        <w:t xml:space="preserve">) </w:t>
      </w:r>
    </w:p>
    <w:p w:rsidR="00FD06F3" w:rsidRDefault="00FD06F3"/>
    <w:p w:rsidR="00FD06F3" w:rsidRDefault="0054425B">
      <w:pPr>
        <w:pStyle w:val="level21"/>
        <w:jc w:val="both"/>
        <w:rPr>
          <w:rFonts w:ascii="Times New Roman" w:hAnsi="Times New Roman"/>
          <w:caps w:val="0"/>
          <w:color w:val="auto"/>
        </w:rPr>
      </w:pPr>
      <w:r>
        <w:rPr>
          <w:rFonts w:ascii="Times New Roman" w:hAnsi="Times New Roman"/>
          <w:caps w:val="0"/>
          <w:color w:val="auto"/>
        </w:rPr>
        <w:t xml:space="preserve">18.12. </w:t>
      </w:r>
      <w:r>
        <w:rPr>
          <w:rFonts w:ascii="Times New Roman" w:hAnsi="Times New Roman"/>
          <w:caps w:val="0"/>
          <w:color w:val="auto"/>
        </w:rPr>
        <w:tab/>
      </w:r>
      <w:r>
        <w:rPr>
          <w:rFonts w:ascii="Times New Roman" w:hAnsi="Times New Roman"/>
          <w:caps w:val="0"/>
          <w:color w:val="auto"/>
        </w:rPr>
        <w:t>Инвестиции в акции связанных сторон</w:t>
      </w:r>
    </w:p>
    <w:p w:rsidR="00FD06F3" w:rsidRDefault="00FD06F3"/>
    <w:p w:rsidR="00FD06F3" w:rsidRDefault="0054425B">
      <w:pPr>
        <w:widowControl w:val="0"/>
      </w:pPr>
      <w:r>
        <w:t>В 2016 году Группа приобрела за 1 000 000 тыс. руб. долю участия в связанной стороне, которая владеет долей в холдинговой компании, являющейся связанной стороной, см. Примечание 5.</w:t>
      </w:r>
    </w:p>
    <w:p w:rsidR="00FD06F3" w:rsidRDefault="00FD06F3">
      <w:pPr>
        <w:widowControl w:val="0"/>
      </w:pPr>
    </w:p>
    <w:p w:rsidR="00FD06F3" w:rsidRDefault="0054425B">
      <w:pPr>
        <w:pStyle w:val="12"/>
      </w:pPr>
      <w:bookmarkStart w:id="154" w:name="_Toc354762896"/>
      <w:bookmarkStart w:id="155" w:name="_Toc356225101"/>
      <w:bookmarkStart w:id="156" w:name="_Toc387743880"/>
      <w:bookmarkStart w:id="157" w:name="_Toc387743944"/>
      <w:bookmarkStart w:id="158" w:name="_Toc512452532"/>
      <w:r>
        <w:t>19.</w:t>
      </w:r>
      <w:r>
        <w:tab/>
        <w:t>Отчетность по сегментам</w:t>
      </w:r>
      <w:bookmarkEnd w:id="154"/>
      <w:bookmarkEnd w:id="155"/>
      <w:bookmarkEnd w:id="156"/>
      <w:bookmarkEnd w:id="157"/>
      <w:bookmarkEnd w:id="158"/>
    </w:p>
    <w:p w:rsidR="00FD06F3" w:rsidRDefault="00FD06F3">
      <w:pPr>
        <w:widowControl w:val="0"/>
      </w:pPr>
    </w:p>
    <w:p w:rsidR="00FD06F3" w:rsidRDefault="0054425B">
      <w:pPr>
        <w:widowControl w:val="0"/>
      </w:pPr>
      <w:r>
        <w:t>Группа п</w:t>
      </w:r>
      <w:r>
        <w:t>роизводит и продает кондитерские изделия. Руководство полагает, что Группа осуществляет хозяйственную деятельность в одном отраслевом сегменте – производство и продажа кондитерских изделий.</w:t>
      </w:r>
    </w:p>
    <w:p w:rsidR="00FD06F3" w:rsidRDefault="00FD06F3">
      <w:pPr>
        <w:widowControl w:val="0"/>
      </w:pPr>
      <w:bookmarkStart w:id="159" w:name="_Toc354762897"/>
      <w:bookmarkStart w:id="160" w:name="_Toc356225102"/>
    </w:p>
    <w:p w:rsidR="00FD06F3" w:rsidRDefault="00FD06F3">
      <w:pPr>
        <w:widowControl w:val="0"/>
      </w:pPr>
    </w:p>
    <w:p w:rsidR="00FD06F3" w:rsidRDefault="0054425B">
      <w:pPr>
        <w:pStyle w:val="12"/>
      </w:pPr>
      <w:bookmarkStart w:id="161" w:name="_Toc387743881"/>
      <w:bookmarkStart w:id="162" w:name="_Toc387743945"/>
      <w:bookmarkStart w:id="163" w:name="_Toc512452533"/>
      <w:r>
        <w:t>20.</w:t>
      </w:r>
      <w:r>
        <w:tab/>
        <w:t>Договорные и условные обязательства</w:t>
      </w:r>
      <w:bookmarkEnd w:id="159"/>
      <w:bookmarkEnd w:id="160"/>
      <w:bookmarkEnd w:id="161"/>
      <w:bookmarkEnd w:id="162"/>
      <w:bookmarkEnd w:id="163"/>
    </w:p>
    <w:p w:rsidR="00FD06F3" w:rsidRDefault="00FD06F3">
      <w:pPr>
        <w:widowControl w:val="0"/>
      </w:pPr>
    </w:p>
    <w:p w:rsidR="00FD06F3" w:rsidRDefault="0054425B">
      <w:pPr>
        <w:pStyle w:val="2"/>
      </w:pPr>
      <w:bookmarkStart w:id="164" w:name="_Toc387743882"/>
      <w:r>
        <w:t>20.1</w:t>
      </w:r>
      <w:r>
        <w:tab/>
        <w:t>Условия ведения де</w:t>
      </w:r>
      <w:r>
        <w:t>ятельности Группы</w:t>
      </w:r>
      <w:bookmarkEnd w:id="164"/>
    </w:p>
    <w:p w:rsidR="00FD06F3" w:rsidRDefault="00FD06F3">
      <w:pPr>
        <w:widowControl w:val="0"/>
      </w:pPr>
    </w:p>
    <w:p w:rsidR="00FD06F3" w:rsidRDefault="0054425B">
      <w:pPr>
        <w:widowControl w:val="0"/>
      </w:pPr>
      <w:r>
        <w:t>В России продолжаются экономические реформы и развитие правовой, налоговой и административной инфраструктуры, которая отвечала бы требованиям рыночной экономики. Стабильность российской экономики будет во многом зависеть от хода этих реф</w:t>
      </w:r>
      <w:r>
        <w:t>орм, а также от эффективности принимаемых Правительством мер в сфере экономики, финансовой и денежно-кредитной политики.</w:t>
      </w:r>
    </w:p>
    <w:p w:rsidR="00FD06F3" w:rsidRDefault="00FD06F3">
      <w:pPr>
        <w:widowControl w:val="0"/>
      </w:pPr>
    </w:p>
    <w:p w:rsidR="00FD06F3" w:rsidRDefault="0054425B">
      <w:pPr>
        <w:widowControl w:val="0"/>
      </w:pPr>
      <w:r>
        <w:t>Негативное влияние на российскую экономику оказывают снижение цен на нефть и санкции, введенные против России некоторыми странами. Про</w:t>
      </w:r>
      <w:r>
        <w:t>центные ставки в рублях остаются высокими. Совокупность этих факторов привела к снижению доступности капитала и увеличению его стоимости, а также к неопределенности относительно экономического роста, что может в будущем негативно сказаться на финансовом по</w:t>
      </w:r>
      <w:r>
        <w:t>ложении, результатах операционной деятельности и перспективах развития бизнеса Группы. Руководство считает, что оно принимает все необходимые меры по поддержанию экономической устойчивости Группы в данных условиях.</w:t>
      </w:r>
    </w:p>
    <w:p w:rsidR="00FD06F3" w:rsidRDefault="00FD06F3">
      <w:pPr>
        <w:widowControl w:val="0"/>
      </w:pPr>
    </w:p>
    <w:p w:rsidR="00FD06F3" w:rsidRDefault="0054425B">
      <w:pPr>
        <w:widowControl w:val="0"/>
      </w:pPr>
      <w:r>
        <w:t>Группа продает продукцию, подверженную в</w:t>
      </w:r>
      <w:r>
        <w:t>лиянию со стороны изменений общеэкономических условий, которые оказывают воздействие на расходы потребителей. Потенциальные экономические условия и факторы, включая введение санкций, ожидания потребителей, уровень занятости, уровень процентных ставок, уров</w:t>
      </w:r>
      <w:r>
        <w:t xml:space="preserve">ень закредитованности населения и доступность потребительских кредитов, могут повлиять на снижение размера потребительских расходов или изменить предпочтения потребителей. </w:t>
      </w:r>
    </w:p>
    <w:p w:rsidR="00FD06F3" w:rsidRDefault="00FD06F3">
      <w:pPr>
        <w:widowControl w:val="0"/>
      </w:pPr>
    </w:p>
    <w:p w:rsidR="00FD06F3" w:rsidRDefault="0054425B">
      <w:pPr>
        <w:widowControl w:val="0"/>
      </w:pPr>
      <w:r>
        <w:t>Руководство Группы считает, что оно предпринимает все необходимые меры по поддержа</w:t>
      </w:r>
      <w:r>
        <w:t xml:space="preserve">нию экономической устойчивости Группы в данных условиях. </w:t>
      </w:r>
    </w:p>
    <w:p w:rsidR="00FD06F3" w:rsidRDefault="00FD06F3">
      <w:pPr>
        <w:widowControl w:val="0"/>
      </w:pPr>
    </w:p>
    <w:p w:rsidR="00FD06F3" w:rsidRDefault="0054425B">
      <w:pPr>
        <w:pStyle w:val="2"/>
      </w:pPr>
      <w:bookmarkStart w:id="165" w:name="_DV_M544"/>
      <w:bookmarkStart w:id="166" w:name="_Toc387743883"/>
      <w:bookmarkEnd w:id="165"/>
      <w:r>
        <w:t>20.2</w:t>
      </w:r>
      <w:r>
        <w:tab/>
        <w:t>Налогообложение</w:t>
      </w:r>
      <w:bookmarkEnd w:id="166"/>
    </w:p>
    <w:p w:rsidR="00FD06F3" w:rsidRDefault="00FD06F3">
      <w:pPr>
        <w:widowControl w:val="0"/>
      </w:pPr>
    </w:p>
    <w:p w:rsidR="00FD06F3" w:rsidRDefault="0054425B">
      <w:pPr>
        <w:widowControl w:val="0"/>
      </w:pPr>
      <w:r>
        <w:t>Основные дочерние компании Группы, являющиеся источником ее прибыли, осуществляют свою деятельность в Российской Федерации. Российское налоговое, валютное и таможенное законод</w:t>
      </w:r>
      <w:r>
        <w:t>ательство допускает различные толкования и подвержено частым изменениям. Интерпретация руководством данного законодательства применительно к операциям и деятельности дочерних компаний Группы может быть оспорена соответствующими региональными и федеральными</w:t>
      </w:r>
      <w:r>
        <w:t xml:space="preserve"> органами.</w:t>
      </w:r>
    </w:p>
    <w:p w:rsidR="00FD06F3" w:rsidRDefault="00FD06F3">
      <w:pPr>
        <w:widowControl w:val="0"/>
      </w:pPr>
    </w:p>
    <w:p w:rsidR="00FD06F3" w:rsidRDefault="0054425B">
      <w:pPr>
        <w:widowControl w:val="0"/>
      </w:pPr>
      <w:r>
        <w:t>В силу неопределенностей, связанных с российскими налоговой и юридической системами, итоговая сумма начисленных налогов, пеней и штрафов (если таковые будут иметь место) может превысить сумму, выплаченную на настоящий момент и начисленную на 31</w:t>
      </w:r>
      <w:r>
        <w:t xml:space="preserve"> декабря 2017 и 2016 гг. Определить сумму претензий по возможным, но не предъявленным искам, если таковые будут иметь место, а также провести оценку вероятности неблагоприятного исхода не представляется возможным. Если российские налоговые органы примут ре</w:t>
      </w:r>
      <w:r>
        <w:t>шение о предъявлении претензии и в судебном порядке докажут ее правомерность, они получат право на взыскание суммы, в отношении которой была предъявлена претензия, а также на взыскание штрафов в размере 20% от данной суммы и процентов по ставке 1/300 от ст</w:t>
      </w:r>
      <w:r>
        <w:t>авки Центрального банка РФ за каждый день просрочки выплаты такой суммы. Налоговые периоды остаются открытыми для проверки соответствующими органами на предмет уплаты налогов в течение трех календарных лет, предшествующих году, за который проводится провер</w:t>
      </w:r>
      <w:r>
        <w:t>ка. При определенных условиях проверке могут быть подвергнуты и более ранние периоды.</w:t>
      </w:r>
    </w:p>
    <w:p w:rsidR="00FD06F3" w:rsidRDefault="00FD06F3">
      <w:pPr>
        <w:widowControl w:val="0"/>
      </w:pPr>
    </w:p>
    <w:p w:rsidR="00FD06F3" w:rsidRDefault="0054425B">
      <w:pPr>
        <w:widowControl w:val="0"/>
      </w:pPr>
      <w:r>
        <w:t>По состоянию на 31 декабря 2017 и 2016 гг. Группа не имела резервов по налоговым позициям.</w:t>
      </w:r>
      <w:r>
        <w:br w:type="page"/>
      </w:r>
    </w:p>
    <w:p w:rsidR="00FD06F3" w:rsidRDefault="0054425B">
      <w:pPr>
        <w:pStyle w:val="13"/>
      </w:pPr>
      <w:r>
        <w:lastRenderedPageBreak/>
        <w:t>20.</w:t>
      </w:r>
      <w:r>
        <w:tab/>
        <w:t>ДОГОВОРНЫЕ И УСЛОВНЫЕ ОБЯЗАТЕЛЬСТВА (</w:t>
      </w:r>
      <w:r>
        <w:rPr>
          <w:caps w:val="0"/>
        </w:rPr>
        <w:t>продолжение</w:t>
      </w:r>
      <w:r>
        <w:t>)</w:t>
      </w:r>
    </w:p>
    <w:p w:rsidR="00FD06F3" w:rsidRDefault="00FD06F3">
      <w:pPr>
        <w:widowControl w:val="0"/>
      </w:pPr>
    </w:p>
    <w:p w:rsidR="00FD06F3" w:rsidRDefault="0054425B">
      <w:pPr>
        <w:pStyle w:val="2"/>
      </w:pPr>
      <w:r>
        <w:t>20.2</w:t>
      </w:r>
      <w:r>
        <w:tab/>
      </w:r>
      <w:r>
        <w:t xml:space="preserve">Налогообложение (продолжение) </w:t>
      </w:r>
    </w:p>
    <w:p w:rsidR="00FD06F3" w:rsidRDefault="00FD06F3">
      <w:pPr>
        <w:widowControl w:val="0"/>
      </w:pPr>
    </w:p>
    <w:p w:rsidR="00FD06F3" w:rsidRDefault="0054425B">
      <w:pPr>
        <w:widowControl w:val="0"/>
      </w:pPr>
      <w:r>
        <w:t>Несмотря на то, что в прошлых периодах в результате доначисления налогов налоговыми органами не возникали существенные обязательства, вероятность такого доначисления сохраняется, в т.ч. в отношении начисленных сумм и сумм, п</w:t>
      </w:r>
      <w:r>
        <w:t>о которым сформирован резерв. По оценке руководства сумма возможных обязательств, вытекающих из этой неопределенности, не превысит 3% от чистых активов Группы.</w:t>
      </w:r>
    </w:p>
    <w:p w:rsidR="00FD06F3" w:rsidRDefault="00FD06F3">
      <w:pPr>
        <w:widowControl w:val="0"/>
      </w:pPr>
    </w:p>
    <w:p w:rsidR="00FD06F3" w:rsidRDefault="0054425B">
      <w:pPr>
        <w:pStyle w:val="3"/>
      </w:pPr>
      <w:r>
        <w:t>Законодательство Российской Федерации о трансфертном ценообразовании</w:t>
      </w:r>
    </w:p>
    <w:p w:rsidR="00FD06F3" w:rsidRDefault="00FD06F3">
      <w:pPr>
        <w:widowControl w:val="0"/>
        <w:autoSpaceDE w:val="0"/>
        <w:autoSpaceDN w:val="0"/>
        <w:adjustRightInd w:val="0"/>
      </w:pPr>
    </w:p>
    <w:p w:rsidR="00FD06F3" w:rsidRDefault="0054425B">
      <w:pPr>
        <w:widowControl w:val="0"/>
        <w:autoSpaceDE w:val="0"/>
        <w:autoSpaceDN w:val="0"/>
        <w:adjustRightInd w:val="0"/>
      </w:pPr>
      <w:r>
        <w:t>В соответствии с новым ро</w:t>
      </w:r>
      <w:r>
        <w:t>ссийским законодательством о трансфертном ценообразовании с 1 января 2012 г. российские налоговые органы вправе корректировать трансфертные цены и доначислять обязательства по налогу на прибыль в отношении всех «контролируемых» сделок при наличии разницы м</w:t>
      </w:r>
      <w:r>
        <w:t>ежду ценой сделки и рыночной ценой. К сделкам, подлежащим налоговому контролю, относятся сделки между взаимозависимыми лицами, а также ряд внешнеторговых сделок. Сделки на внутреннем рынке подпадают под новые правила в том случае, если сумма цен всех сдело</w:t>
      </w:r>
      <w:r>
        <w:t xml:space="preserve">к между взаимозависимыми лицами превышает 1 миллиард рублей. В случае если в результате сделки на внутреннем рынке произошло начисление дополнительных налоговых обязательств для одной из сторон, другая сторона может соответствующим образом скорректировать </w:t>
      </w:r>
      <w:r>
        <w:t>свои обязательства по налогу на прибыль в соответствии со специальным уведомлением, выпущенным в надлежащем порядке уполномоченным органом.</w:t>
      </w:r>
    </w:p>
    <w:p w:rsidR="00FD06F3" w:rsidRDefault="00FD06F3">
      <w:pPr>
        <w:widowControl w:val="0"/>
        <w:autoSpaceDE w:val="0"/>
        <w:autoSpaceDN w:val="0"/>
        <w:adjustRightInd w:val="0"/>
        <w:rPr>
          <w:highlight w:val="yellow"/>
        </w:rPr>
      </w:pPr>
    </w:p>
    <w:p w:rsidR="00FD06F3" w:rsidRDefault="0054425B">
      <w:pPr>
        <w:widowControl w:val="0"/>
        <w:autoSpaceDE w:val="0"/>
        <w:autoSpaceDN w:val="0"/>
        <w:adjustRightInd w:val="0"/>
      </w:pPr>
      <w:r>
        <w:t>По сравнению с правилами трансфертного ценообразования, действовавшими до 2012 года, новые российские правила транс</w:t>
      </w:r>
      <w:r>
        <w:t>фертного ценообразования значительно ужесточают требования по соблюдению налогового законодательства, предъявляемые к налогоплательщикам, поскольку, помимо всего прочего, бремя доказывания, ранее возлагавшееся на российские налоговые органы, теперь лежит н</w:t>
      </w:r>
      <w:r>
        <w:t>а налогоплательщиках. Новые правила применяются не только к сделкам, реализованным в 2017 и 2016 годах, но и к сделкам между взаимозависимыми лицами, заключенным ранее, при условии, что соответствующие доходы и расходы были признаны в 2017 и 2016 годах. Ос</w:t>
      </w:r>
      <w:r>
        <w:t>обые условия трансфертного ценообразования установлены для операций с ценными бумагами и производными финансовыми инструментами.</w:t>
      </w:r>
    </w:p>
    <w:p w:rsidR="00FD06F3" w:rsidRDefault="00FD06F3">
      <w:pPr>
        <w:widowControl w:val="0"/>
      </w:pPr>
    </w:p>
    <w:p w:rsidR="00FD06F3" w:rsidRDefault="0054425B">
      <w:pPr>
        <w:widowControl w:val="0"/>
      </w:pPr>
      <w:r>
        <w:t>В 2017 и 2016 годах Группа определяла размер налоговых обязательств по «контролируемым» сделкам на основании фактических цен с</w:t>
      </w:r>
      <w:r>
        <w:t xml:space="preserve">делок. </w:t>
      </w:r>
    </w:p>
    <w:p w:rsidR="00FD06F3" w:rsidRDefault="00FD06F3">
      <w:pPr>
        <w:widowControl w:val="0"/>
      </w:pPr>
    </w:p>
    <w:p w:rsidR="00FD06F3" w:rsidRDefault="0054425B">
      <w:pPr>
        <w:widowControl w:val="0"/>
      </w:pPr>
      <w:r>
        <w:t>В силу неопределенности и ограниченности практики применения действующего российского законодательства в области трансфертного ценообразования Группе необходимо представить доказательства того, что при определении цен «контролируемых» сделок она и</w:t>
      </w:r>
      <w:r>
        <w:t>сходила из рыночных цен, и надлежащим образом подготовить отчетность для подачи в российские налоговые органы, предоставив необходимую документацию по трансфертному ценообразованию. В противном случае российские налоговые органы вправе оспорить цены, опред</w:t>
      </w:r>
      <w:r>
        <w:t xml:space="preserve">еленные Группой по таким сделкам, и оценить дополнительные налоговые обязательства. </w:t>
      </w:r>
    </w:p>
    <w:p w:rsidR="00FD06F3" w:rsidRDefault="00FD06F3">
      <w:bookmarkStart w:id="167" w:name="_Toc387743886"/>
    </w:p>
    <w:p w:rsidR="00FD06F3" w:rsidRDefault="0054425B">
      <w:pPr>
        <w:pStyle w:val="2"/>
      </w:pPr>
      <w:r>
        <w:t>20.3</w:t>
      </w:r>
      <w:r>
        <w:tab/>
        <w:t>Страхование</w:t>
      </w:r>
      <w:bookmarkEnd w:id="167"/>
    </w:p>
    <w:p w:rsidR="00FD06F3" w:rsidRDefault="00FD06F3">
      <w:pPr>
        <w:widowControl w:val="0"/>
      </w:pPr>
    </w:p>
    <w:p w:rsidR="00FD06F3" w:rsidRDefault="0054425B">
      <w:pPr>
        <w:widowControl w:val="0"/>
      </w:pPr>
      <w:r>
        <w:t xml:space="preserve">Группа заключает договоры страхования на все принадлежащие ей основные средства. Группа не имеет договоров страхования своей хозяйственной деятельности </w:t>
      </w:r>
      <w:r>
        <w:t xml:space="preserve">или гражданской ответственности. </w:t>
      </w:r>
    </w:p>
    <w:p w:rsidR="00FD06F3" w:rsidRDefault="00FD06F3">
      <w:pPr>
        <w:widowControl w:val="0"/>
        <w:rPr>
          <w:sz w:val="18"/>
        </w:rPr>
      </w:pPr>
    </w:p>
    <w:p w:rsidR="00FD06F3" w:rsidRDefault="0054425B">
      <w:pPr>
        <w:pStyle w:val="2"/>
      </w:pPr>
      <w:r>
        <w:t>20.4</w:t>
      </w:r>
      <w:r>
        <w:tab/>
        <w:t>Судебные разбирательства</w:t>
      </w:r>
    </w:p>
    <w:p w:rsidR="00FD06F3" w:rsidRDefault="00FD06F3">
      <w:pPr>
        <w:widowControl w:val="0"/>
        <w:rPr>
          <w:sz w:val="18"/>
        </w:rPr>
      </w:pPr>
    </w:p>
    <w:p w:rsidR="00FD06F3" w:rsidRDefault="0054425B">
      <w:pPr>
        <w:widowControl w:val="0"/>
      </w:pPr>
      <w:r>
        <w:t>Группа периодически являлась и продолжает являться участником судебных разбирательств и решений, ни одно из которых как по отдельности, так и в совокупности не оказало существенного негативн</w:t>
      </w:r>
      <w:r>
        <w:t>ого влияния на Группу. Руководство полагает, что исход всех хозяйственных споров не окажет существенного влияния на финансовое положение, результаты деятельности и денежные потоки Группы.</w:t>
      </w:r>
    </w:p>
    <w:p w:rsidR="00FD06F3" w:rsidRDefault="00FD06F3">
      <w:pPr>
        <w:rPr>
          <w:sz w:val="18"/>
        </w:rPr>
      </w:pPr>
    </w:p>
    <w:p w:rsidR="00FD06F3" w:rsidRDefault="0054425B">
      <w:pPr>
        <w:pStyle w:val="2"/>
      </w:pPr>
      <w:r>
        <w:t>20.5</w:t>
      </w:r>
      <w:r>
        <w:tab/>
        <w:t>Обязательства по капитальным затратам и по договорам аренды</w:t>
      </w:r>
    </w:p>
    <w:p w:rsidR="00FD06F3" w:rsidRDefault="00FD06F3">
      <w:pPr>
        <w:rPr>
          <w:sz w:val="18"/>
        </w:rPr>
      </w:pPr>
    </w:p>
    <w:p w:rsidR="00FD06F3" w:rsidRDefault="0054425B">
      <w:pPr>
        <w:pStyle w:val="BodyText2"/>
        <w:widowControl w:val="0"/>
        <w:spacing w:after="0" w:line="240" w:lineRule="auto"/>
        <w:jc w:val="both"/>
        <w:rPr>
          <w:rFonts w:ascii="Times New Roman" w:hAnsi="Times New Roman"/>
          <w:sz w:val="20"/>
          <w:lang w:bidi="ar-SA"/>
        </w:rPr>
      </w:pPr>
      <w:r>
        <w:rPr>
          <w:rFonts w:ascii="Times New Roman" w:hAnsi="Times New Roman"/>
          <w:sz w:val="20"/>
          <w:lang w:bidi="ar-SA"/>
        </w:rPr>
        <w:t>В</w:t>
      </w:r>
      <w:r>
        <w:rPr>
          <w:rFonts w:ascii="Times New Roman" w:hAnsi="Times New Roman"/>
          <w:sz w:val="20"/>
          <w:lang w:bidi="ar-SA"/>
        </w:rPr>
        <w:t xml:space="preserve"> 2017 и 2016 годах Группа заключила ряд договоров о приобретении основных средств. Договорные обязательства на 31 декабря 2017 г. составили 23 580 тыс. руб. (2016 год: 105 385 тыс. руб.).</w:t>
      </w:r>
    </w:p>
    <w:p w:rsidR="00FD06F3" w:rsidRDefault="00FD06F3">
      <w:pPr>
        <w:rPr>
          <w:sz w:val="18"/>
        </w:rPr>
      </w:pPr>
    </w:p>
    <w:p w:rsidR="00FD06F3" w:rsidRDefault="0054425B">
      <w:r>
        <w:t>Группа заключила ряд расторгаемых договоров краткосрочной и долгоср</w:t>
      </w:r>
      <w:r>
        <w:t>очной аренды и планирует продлить срок их действия. Ожидаемые годовые арендные платежи по данным договорам составляют около 11 284 тыс. руб. (2016 год: 10 436 тыс. руб.).</w:t>
      </w:r>
    </w:p>
    <w:p w:rsidR="00FD06F3" w:rsidRDefault="0054425B">
      <w:pPr>
        <w:pStyle w:val="12"/>
      </w:pPr>
      <w:r>
        <w:br w:type="page"/>
      </w:r>
      <w:bookmarkStart w:id="168" w:name="_Toc354762898"/>
      <w:bookmarkStart w:id="169" w:name="_Toc356225103"/>
      <w:bookmarkStart w:id="170" w:name="_Toc387743887"/>
      <w:bookmarkStart w:id="171" w:name="_Toc387743946"/>
      <w:bookmarkStart w:id="172" w:name="_Toc512452534"/>
      <w:r>
        <w:lastRenderedPageBreak/>
        <w:t>21.</w:t>
      </w:r>
      <w:r>
        <w:tab/>
        <w:t>Финансовые инструменты и задачи и принципы управления финансовыми рисками</w:t>
      </w:r>
      <w:bookmarkEnd w:id="168"/>
      <w:bookmarkEnd w:id="169"/>
      <w:bookmarkEnd w:id="170"/>
      <w:bookmarkEnd w:id="171"/>
      <w:bookmarkEnd w:id="172"/>
      <w:r>
        <w:t xml:space="preserve"> </w:t>
      </w:r>
    </w:p>
    <w:p w:rsidR="00FD06F3" w:rsidRDefault="00FD06F3">
      <w:pPr>
        <w:widowControl w:val="0"/>
      </w:pPr>
    </w:p>
    <w:p w:rsidR="00FD06F3" w:rsidRDefault="0054425B">
      <w:pPr>
        <w:widowControl w:val="0"/>
        <w:autoSpaceDE w:val="0"/>
        <w:autoSpaceDN w:val="0"/>
        <w:adjustRightInd w:val="0"/>
        <w:rPr>
          <w:b/>
          <w:iCs/>
        </w:rPr>
      </w:pPr>
      <w:r>
        <w:rPr>
          <w:b/>
          <w:iCs/>
        </w:rPr>
        <w:t>Спра</w:t>
      </w:r>
      <w:r>
        <w:rPr>
          <w:b/>
          <w:iCs/>
        </w:rPr>
        <w:t>ведливая стоимость</w:t>
      </w:r>
    </w:p>
    <w:p w:rsidR="00FD06F3" w:rsidRDefault="00FD06F3">
      <w:pPr>
        <w:widowControl w:val="0"/>
      </w:pPr>
    </w:p>
    <w:p w:rsidR="00FD06F3" w:rsidRDefault="0054425B">
      <w:pPr>
        <w:widowControl w:val="0"/>
      </w:pPr>
      <w:r>
        <w:t>На 31 декабря 2017 г. справедливая стоимость займов выданных, рассчитанная путем дисконтирования прогнозируемых денежных потоков будущих периодов с применением действующих процентных ставок, равна 1 167 652 тыс. руб. (2016 год: 1 282 51</w:t>
      </w:r>
      <w:r>
        <w:t>6 тыс. руб.), балансовая стоимость равна 1 131 495 тыс. руб. (2016 год: 1 282 516 тыс. руб.), см. также Примечание 18.5. Справедливая стоимость прочих объектов приблизительно равна их балансовой стоимости вследствие краткосрочного характера финансовых инст</w:t>
      </w:r>
      <w:r>
        <w:t xml:space="preserve">рументов. </w:t>
      </w:r>
    </w:p>
    <w:p w:rsidR="00FD06F3" w:rsidRDefault="00FD06F3">
      <w:pPr>
        <w:widowControl w:val="0"/>
      </w:pPr>
    </w:p>
    <w:p w:rsidR="00FD06F3" w:rsidRDefault="0054425B">
      <w:pPr>
        <w:widowControl w:val="0"/>
        <w:autoSpaceDE w:val="0"/>
        <w:autoSpaceDN w:val="0"/>
        <w:adjustRightInd w:val="0"/>
        <w:rPr>
          <w:b/>
          <w:iCs/>
        </w:rPr>
      </w:pPr>
      <w:r>
        <w:rPr>
          <w:b/>
          <w:iCs/>
        </w:rPr>
        <w:t>Цели и политика управления финансовыми рисками</w:t>
      </w:r>
    </w:p>
    <w:p w:rsidR="00FD06F3" w:rsidRDefault="00FD06F3">
      <w:pPr>
        <w:widowControl w:val="0"/>
        <w:rPr>
          <w:b/>
        </w:rPr>
      </w:pPr>
    </w:p>
    <w:p w:rsidR="00FD06F3" w:rsidRDefault="0054425B">
      <w:pPr>
        <w:widowControl w:val="0"/>
      </w:pPr>
      <w:r>
        <w:t>В состав основных финансовых инструментов</w:t>
      </w:r>
      <w:r>
        <w:rPr>
          <w:b/>
          <w:bCs/>
          <w:caps/>
        </w:rPr>
        <w:t xml:space="preserve"> </w:t>
      </w:r>
      <w:r>
        <w:t>Группы входят кредиты и займы, а также денежные средства и их эквиваленты. Указанные финансовые инструменты главным образом используются в целях привлечен</w:t>
      </w:r>
      <w:r>
        <w:t>ия финансирования для хозяйственной и инвестиционной деятельности</w:t>
      </w:r>
      <w:r>
        <w:rPr>
          <w:b/>
          <w:bCs/>
          <w:caps/>
        </w:rPr>
        <w:t xml:space="preserve"> </w:t>
      </w:r>
      <w:r>
        <w:t>Группы. Группа имеет ряд других финансовых активов и обязательств (таких как торговая дебиторская и кредиторская задолженность), связанных непосредственно с хозяйственной деятельностью Групп</w:t>
      </w:r>
      <w:r>
        <w:t>ы. В течение отчетного года Группа не осуществляла торговых операций с финансовыми инструментами.</w:t>
      </w:r>
    </w:p>
    <w:p w:rsidR="00FD06F3" w:rsidRDefault="00FD06F3">
      <w:pPr>
        <w:widowControl w:val="0"/>
      </w:pPr>
    </w:p>
    <w:p w:rsidR="00FD06F3" w:rsidRDefault="0054425B">
      <w:pPr>
        <w:widowControl w:val="0"/>
      </w:pPr>
      <w:r>
        <w:t>К числу основных рисков, связанных с финансовыми инструментами Группы, относятся риск изменения процентной ставки, риск ликвидности, валютный и кредитный рис</w:t>
      </w:r>
      <w:r>
        <w:t>ки. Руководство анализирует и утверждает принципы управления каждым из рисков, перечисленных ниже.</w:t>
      </w:r>
    </w:p>
    <w:p w:rsidR="00FD06F3" w:rsidRDefault="00FD06F3">
      <w:pPr>
        <w:widowControl w:val="0"/>
      </w:pPr>
    </w:p>
    <w:p w:rsidR="00FD06F3" w:rsidRDefault="0054425B">
      <w:pPr>
        <w:widowControl w:val="0"/>
        <w:rPr>
          <w:b/>
          <w:iCs/>
        </w:rPr>
      </w:pPr>
      <w:r>
        <w:rPr>
          <w:b/>
          <w:iCs/>
        </w:rPr>
        <w:t xml:space="preserve">Риск изменения процентных ставок </w:t>
      </w:r>
    </w:p>
    <w:p w:rsidR="00FD06F3" w:rsidRDefault="00FD06F3">
      <w:pPr>
        <w:widowControl w:val="0"/>
      </w:pPr>
    </w:p>
    <w:p w:rsidR="00FD06F3" w:rsidRDefault="0054425B">
      <w:pPr>
        <w:widowControl w:val="0"/>
      </w:pPr>
      <w:r>
        <w:t xml:space="preserve">Группа не подвергается риску, связанному с влиянием изменения процентных ставок на денежные потоки и рыночную стоимость, </w:t>
      </w:r>
      <w:r>
        <w:t>поскольку не имеет долгосрочных кредитов и займов с плавающими процентными ставками.</w:t>
      </w:r>
    </w:p>
    <w:p w:rsidR="00FD06F3" w:rsidRDefault="00FD06F3">
      <w:pPr>
        <w:widowControl w:val="0"/>
      </w:pPr>
    </w:p>
    <w:p w:rsidR="00FD06F3" w:rsidRDefault="0054425B">
      <w:pPr>
        <w:widowControl w:val="0"/>
        <w:rPr>
          <w:b/>
          <w:iCs/>
        </w:rPr>
      </w:pPr>
      <w:r>
        <w:rPr>
          <w:b/>
          <w:iCs/>
        </w:rPr>
        <w:t>Валютный риск</w:t>
      </w:r>
    </w:p>
    <w:p w:rsidR="00FD06F3" w:rsidRDefault="00FD06F3">
      <w:pPr>
        <w:widowControl w:val="0"/>
      </w:pPr>
    </w:p>
    <w:p w:rsidR="00FD06F3" w:rsidRDefault="0054425B">
      <w:pPr>
        <w:widowControl w:val="0"/>
      </w:pPr>
      <w:r>
        <w:t>Группа имеет торговую кредиторскую задолженность преимущественно в долларах США по состоянию на 31 декабря 2017 и 2016 гг. (Примечание 13), а также денежны</w:t>
      </w:r>
      <w:r>
        <w:t>е средства, преимущественно в долларах США (Примечание 9) по состоянию на 31 декабря 2017 и 2016 гг. Следовательно, Группа подвержена валютному риску. Группа контролирует валютный риск путем отслеживания изменений курсов валют, в которых выражены ее денежн</w:t>
      </w:r>
      <w:r>
        <w:t>ые средства, кредиторская задолженность, кредиты и займы. Однако формально Группа не осуществляет хеджирование валютных рисков.</w:t>
      </w:r>
    </w:p>
    <w:p w:rsidR="00FD06F3" w:rsidRDefault="00FD06F3">
      <w:pPr>
        <w:widowControl w:val="0"/>
      </w:pPr>
    </w:p>
    <w:p w:rsidR="00FD06F3" w:rsidRDefault="0054425B">
      <w:pPr>
        <w:widowControl w:val="0"/>
      </w:pPr>
      <w:r>
        <w:t>В таблице ниже показана чувствительность прибыли Группы до налогообложения к обоснованно возможному изменению обменного курса е</w:t>
      </w:r>
      <w:r>
        <w:t xml:space="preserve">вро и доллара при неизменных прочих переменных: </w:t>
      </w:r>
    </w:p>
    <w:p w:rsidR="00FD06F3" w:rsidRDefault="00FD06F3">
      <w:pPr>
        <w:widowControl w:val="0"/>
        <w:rPr>
          <w:sz w:val="18"/>
        </w:rPr>
      </w:pPr>
    </w:p>
    <w:tbl>
      <w:tblPr>
        <w:tblW w:w="9638" w:type="dxa"/>
        <w:jc w:val="center"/>
        <w:tblLayout w:type="fixed"/>
        <w:tblLook w:val="01E0" w:firstRow="1" w:lastRow="1" w:firstColumn="1" w:lastColumn="1" w:noHBand="0" w:noVBand="0"/>
      </w:tblPr>
      <w:tblGrid>
        <w:gridCol w:w="6236"/>
        <w:gridCol w:w="1701"/>
        <w:gridCol w:w="1701"/>
      </w:tblGrid>
      <w:tr w:rsidR="00FD06F3">
        <w:trPr>
          <w:trHeight w:val="23"/>
          <w:jc w:val="center"/>
        </w:trPr>
        <w:tc>
          <w:tcPr>
            <w:tcW w:w="6236" w:type="dxa"/>
            <w:vAlign w:val="bottom"/>
          </w:tcPr>
          <w:p w:rsidR="00FD06F3" w:rsidRDefault="00FD06F3">
            <w:pPr>
              <w:pStyle w:val="ABC-paragrahinNotes"/>
              <w:widowControl w:val="0"/>
              <w:spacing w:after="0"/>
              <w:ind w:left="5" w:right="-108" w:hanging="113"/>
              <w:jc w:val="left"/>
              <w:rPr>
                <w:sz w:val="18"/>
                <w:szCs w:val="18"/>
              </w:rPr>
            </w:pPr>
          </w:p>
        </w:tc>
        <w:tc>
          <w:tcPr>
            <w:tcW w:w="1701" w:type="dxa"/>
            <w:tcBorders>
              <w:bottom w:val="single" w:sz="6" w:space="0" w:color="auto"/>
            </w:tcBorders>
            <w:vAlign w:val="bottom"/>
          </w:tcPr>
          <w:p w:rsidR="00FD06F3" w:rsidRDefault="0054425B">
            <w:pPr>
              <w:pStyle w:val="Level3"/>
              <w:widowControl w:val="0"/>
              <w:spacing w:after="0"/>
              <w:ind w:left="-108" w:right="-108"/>
              <w:jc w:val="center"/>
              <w:rPr>
                <w:sz w:val="18"/>
                <w:szCs w:val="18"/>
              </w:rPr>
            </w:pPr>
            <w:bookmarkStart w:id="173" w:name="_Toc387743889"/>
            <w:r>
              <w:rPr>
                <w:sz w:val="18"/>
                <w:szCs w:val="18"/>
              </w:rPr>
              <w:t>Увеличение/</w:t>
            </w:r>
            <w:r>
              <w:rPr>
                <w:sz w:val="18"/>
                <w:szCs w:val="18"/>
              </w:rPr>
              <w:br/>
              <w:t>уменьшение обменного курса</w:t>
            </w:r>
            <w:bookmarkEnd w:id="173"/>
          </w:p>
        </w:tc>
        <w:tc>
          <w:tcPr>
            <w:tcW w:w="1701" w:type="dxa"/>
            <w:tcBorders>
              <w:bottom w:val="single" w:sz="6" w:space="0" w:color="auto"/>
            </w:tcBorders>
            <w:vAlign w:val="bottom"/>
          </w:tcPr>
          <w:p w:rsidR="00FD06F3" w:rsidRDefault="0054425B">
            <w:pPr>
              <w:pStyle w:val="Level3"/>
              <w:widowControl w:val="0"/>
              <w:spacing w:after="0"/>
              <w:ind w:left="-108" w:right="-108"/>
              <w:jc w:val="center"/>
              <w:rPr>
                <w:sz w:val="18"/>
                <w:szCs w:val="18"/>
              </w:rPr>
            </w:pPr>
            <w:bookmarkStart w:id="174" w:name="_Toc387743890"/>
            <w:r>
              <w:rPr>
                <w:sz w:val="18"/>
                <w:szCs w:val="18"/>
              </w:rPr>
              <w:t>Влияние на прибыль до налогообложения</w:t>
            </w:r>
            <w:bookmarkEnd w:id="174"/>
          </w:p>
        </w:tc>
      </w:tr>
      <w:tr w:rsidR="00FD06F3">
        <w:trPr>
          <w:trHeight w:val="23"/>
          <w:jc w:val="center"/>
        </w:trPr>
        <w:tc>
          <w:tcPr>
            <w:tcW w:w="6236" w:type="dxa"/>
            <w:vAlign w:val="bottom"/>
          </w:tcPr>
          <w:p w:rsidR="00FD06F3" w:rsidRDefault="0054425B">
            <w:pPr>
              <w:pStyle w:val="Level3"/>
              <w:widowControl w:val="0"/>
              <w:spacing w:after="0"/>
              <w:ind w:left="5" w:right="-108" w:hanging="113"/>
              <w:jc w:val="left"/>
              <w:outlineLvl w:val="9"/>
              <w:rPr>
                <w:sz w:val="18"/>
                <w:szCs w:val="18"/>
              </w:rPr>
            </w:pPr>
            <w:bookmarkStart w:id="175" w:name="_Toc387743891"/>
            <w:r>
              <w:rPr>
                <w:sz w:val="18"/>
                <w:szCs w:val="18"/>
              </w:rPr>
              <w:t>На 31 декабря 2017 г.</w:t>
            </w:r>
            <w:bookmarkEnd w:id="175"/>
          </w:p>
        </w:tc>
        <w:tc>
          <w:tcPr>
            <w:tcW w:w="1701" w:type="dxa"/>
            <w:tcBorders>
              <w:top w:val="single" w:sz="6" w:space="0" w:color="auto"/>
            </w:tcBorders>
            <w:vAlign w:val="bottom"/>
          </w:tcPr>
          <w:p w:rsidR="00FD06F3" w:rsidRDefault="00FD06F3">
            <w:pPr>
              <w:widowControl w:val="0"/>
              <w:tabs>
                <w:tab w:val="decimal" w:pos="921"/>
              </w:tabs>
              <w:jc w:val="left"/>
              <w:rPr>
                <w:sz w:val="18"/>
                <w:szCs w:val="18"/>
              </w:rPr>
            </w:pPr>
          </w:p>
        </w:tc>
        <w:tc>
          <w:tcPr>
            <w:tcW w:w="1701" w:type="dxa"/>
            <w:tcBorders>
              <w:top w:val="single" w:sz="6" w:space="0" w:color="auto"/>
            </w:tcBorders>
            <w:vAlign w:val="bottom"/>
          </w:tcPr>
          <w:p w:rsidR="00FD06F3" w:rsidRDefault="00FD06F3">
            <w:pPr>
              <w:pStyle w:val="ABC-paragrahinNotes"/>
              <w:widowControl w:val="0"/>
              <w:tabs>
                <w:tab w:val="decimal" w:pos="1247"/>
              </w:tabs>
              <w:spacing w:after="0"/>
              <w:jc w:val="left"/>
              <w:rPr>
                <w:sz w:val="18"/>
                <w:szCs w:val="18"/>
              </w:rPr>
            </w:pPr>
          </w:p>
        </w:tc>
      </w:tr>
      <w:tr w:rsidR="00FD06F3">
        <w:trPr>
          <w:trHeight w:val="23"/>
          <w:jc w:val="center"/>
        </w:trPr>
        <w:tc>
          <w:tcPr>
            <w:tcW w:w="6236" w:type="dxa"/>
            <w:vAlign w:val="bottom"/>
          </w:tcPr>
          <w:p w:rsidR="00FD06F3" w:rsidRDefault="0054425B">
            <w:pPr>
              <w:pStyle w:val="Tabletext"/>
              <w:widowControl w:val="0"/>
              <w:ind w:left="5" w:right="-108" w:hanging="113"/>
              <w:jc w:val="left"/>
            </w:pPr>
            <w:r>
              <w:t xml:space="preserve">Евро/руб. </w:t>
            </w:r>
          </w:p>
        </w:tc>
        <w:tc>
          <w:tcPr>
            <w:tcW w:w="1701" w:type="dxa"/>
            <w:vAlign w:val="bottom"/>
          </w:tcPr>
          <w:p w:rsidR="00FD06F3" w:rsidRDefault="0054425B">
            <w:pPr>
              <w:widowControl w:val="0"/>
              <w:tabs>
                <w:tab w:val="decimal" w:pos="921"/>
              </w:tabs>
              <w:jc w:val="left"/>
              <w:rPr>
                <w:sz w:val="18"/>
                <w:szCs w:val="18"/>
              </w:rPr>
            </w:pPr>
            <w:r>
              <w:rPr>
                <w:sz w:val="18"/>
                <w:szCs w:val="18"/>
              </w:rPr>
              <w:t>12,50%</w:t>
            </w:r>
          </w:p>
        </w:tc>
        <w:tc>
          <w:tcPr>
            <w:tcW w:w="1701" w:type="dxa"/>
            <w:vAlign w:val="bottom"/>
          </w:tcPr>
          <w:p w:rsidR="00FD06F3" w:rsidRDefault="0054425B">
            <w:pPr>
              <w:widowControl w:val="0"/>
              <w:tabs>
                <w:tab w:val="decimal" w:pos="1247"/>
              </w:tabs>
              <w:jc w:val="left"/>
              <w:rPr>
                <w:sz w:val="18"/>
                <w:szCs w:val="18"/>
              </w:rPr>
            </w:pPr>
            <w:r>
              <w:rPr>
                <w:sz w:val="18"/>
                <w:szCs w:val="18"/>
              </w:rPr>
              <w:t>(15 615)</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 xml:space="preserve">Евро/руб. </w:t>
            </w:r>
          </w:p>
        </w:tc>
        <w:tc>
          <w:tcPr>
            <w:tcW w:w="1701" w:type="dxa"/>
            <w:vAlign w:val="bottom"/>
          </w:tcPr>
          <w:p w:rsidR="00FD06F3" w:rsidRDefault="0054425B">
            <w:pPr>
              <w:widowControl w:val="0"/>
              <w:tabs>
                <w:tab w:val="decimal" w:pos="921"/>
              </w:tabs>
              <w:jc w:val="left"/>
              <w:rPr>
                <w:sz w:val="18"/>
                <w:szCs w:val="18"/>
              </w:rPr>
            </w:pPr>
            <w:r>
              <w:rPr>
                <w:sz w:val="18"/>
                <w:szCs w:val="18"/>
              </w:rPr>
              <w:t>-12,50%</w:t>
            </w:r>
          </w:p>
        </w:tc>
        <w:tc>
          <w:tcPr>
            <w:tcW w:w="1701" w:type="dxa"/>
            <w:vAlign w:val="bottom"/>
          </w:tcPr>
          <w:p w:rsidR="00FD06F3" w:rsidRDefault="0054425B">
            <w:pPr>
              <w:widowControl w:val="0"/>
              <w:tabs>
                <w:tab w:val="decimal" w:pos="1247"/>
              </w:tabs>
              <w:jc w:val="left"/>
              <w:rPr>
                <w:sz w:val="18"/>
                <w:szCs w:val="18"/>
              </w:rPr>
            </w:pPr>
            <w:r>
              <w:rPr>
                <w:sz w:val="18"/>
                <w:szCs w:val="18"/>
              </w:rPr>
              <w:t>15 615</w:t>
            </w:r>
          </w:p>
        </w:tc>
      </w:tr>
      <w:tr w:rsidR="00FD06F3">
        <w:trPr>
          <w:trHeight w:hRule="exact" w:val="113"/>
          <w:jc w:val="center"/>
        </w:trPr>
        <w:tc>
          <w:tcPr>
            <w:tcW w:w="6236" w:type="dxa"/>
            <w:vAlign w:val="bottom"/>
          </w:tcPr>
          <w:p w:rsidR="00FD06F3" w:rsidRDefault="0054425B">
            <w:pPr>
              <w:pStyle w:val="Tabletext"/>
              <w:widowControl w:val="0"/>
              <w:ind w:left="5" w:right="-108" w:hanging="113"/>
              <w:jc w:val="left"/>
            </w:pPr>
            <w:r>
              <w:t xml:space="preserve"> </w:t>
            </w:r>
          </w:p>
        </w:tc>
        <w:tc>
          <w:tcPr>
            <w:tcW w:w="1701" w:type="dxa"/>
            <w:vAlign w:val="bottom"/>
          </w:tcPr>
          <w:p w:rsidR="00FD06F3" w:rsidRDefault="00FD06F3">
            <w:pPr>
              <w:widowControl w:val="0"/>
              <w:tabs>
                <w:tab w:val="decimal" w:pos="921"/>
              </w:tabs>
              <w:jc w:val="left"/>
              <w:rPr>
                <w:sz w:val="18"/>
                <w:szCs w:val="18"/>
              </w:rPr>
            </w:pPr>
          </w:p>
        </w:tc>
        <w:tc>
          <w:tcPr>
            <w:tcW w:w="1701" w:type="dxa"/>
            <w:vAlign w:val="bottom"/>
          </w:tcPr>
          <w:p w:rsidR="00FD06F3" w:rsidRDefault="00FD06F3">
            <w:pPr>
              <w:widowControl w:val="0"/>
              <w:tabs>
                <w:tab w:val="decimal" w:pos="1247"/>
              </w:tabs>
              <w:jc w:val="left"/>
              <w:rPr>
                <w:sz w:val="18"/>
                <w:szCs w:val="18"/>
              </w:rPr>
            </w:pPr>
          </w:p>
        </w:tc>
      </w:tr>
      <w:tr w:rsidR="00FD06F3">
        <w:trPr>
          <w:trHeight w:val="23"/>
          <w:jc w:val="center"/>
        </w:trPr>
        <w:tc>
          <w:tcPr>
            <w:tcW w:w="6236" w:type="dxa"/>
            <w:vAlign w:val="bottom"/>
          </w:tcPr>
          <w:p w:rsidR="00FD06F3" w:rsidRDefault="0054425B">
            <w:pPr>
              <w:pStyle w:val="Level3"/>
              <w:widowControl w:val="0"/>
              <w:spacing w:after="0"/>
              <w:ind w:left="5" w:right="-108" w:hanging="113"/>
              <w:jc w:val="left"/>
              <w:outlineLvl w:val="9"/>
              <w:rPr>
                <w:sz w:val="18"/>
                <w:szCs w:val="18"/>
              </w:rPr>
            </w:pPr>
            <w:bookmarkStart w:id="176" w:name="_Toc387743892"/>
            <w:r>
              <w:rPr>
                <w:sz w:val="18"/>
                <w:szCs w:val="18"/>
              </w:rPr>
              <w:t>На 31 декабря 2016 г.</w:t>
            </w:r>
            <w:bookmarkEnd w:id="176"/>
          </w:p>
        </w:tc>
        <w:tc>
          <w:tcPr>
            <w:tcW w:w="1701" w:type="dxa"/>
            <w:vAlign w:val="bottom"/>
          </w:tcPr>
          <w:p w:rsidR="00FD06F3" w:rsidRDefault="00FD06F3">
            <w:pPr>
              <w:pStyle w:val="Tabletext"/>
              <w:widowControl w:val="0"/>
              <w:tabs>
                <w:tab w:val="decimal" w:pos="921"/>
              </w:tabs>
              <w:jc w:val="left"/>
            </w:pPr>
          </w:p>
        </w:tc>
        <w:tc>
          <w:tcPr>
            <w:tcW w:w="1701" w:type="dxa"/>
            <w:vAlign w:val="bottom"/>
          </w:tcPr>
          <w:p w:rsidR="00FD06F3" w:rsidRDefault="00FD06F3">
            <w:pPr>
              <w:pStyle w:val="Tabletext"/>
              <w:widowControl w:val="0"/>
              <w:tabs>
                <w:tab w:val="decimal" w:pos="1247"/>
              </w:tabs>
              <w:jc w:val="left"/>
            </w:pPr>
          </w:p>
        </w:tc>
      </w:tr>
      <w:tr w:rsidR="00FD06F3">
        <w:trPr>
          <w:trHeight w:val="23"/>
          <w:jc w:val="center"/>
        </w:trPr>
        <w:tc>
          <w:tcPr>
            <w:tcW w:w="6236" w:type="dxa"/>
            <w:vAlign w:val="bottom"/>
          </w:tcPr>
          <w:p w:rsidR="00FD06F3" w:rsidRDefault="0054425B">
            <w:pPr>
              <w:pStyle w:val="Tabletext"/>
              <w:widowControl w:val="0"/>
              <w:ind w:left="5" w:right="-108" w:hanging="113"/>
              <w:jc w:val="left"/>
            </w:pPr>
            <w:r>
              <w:t xml:space="preserve">Евро/руб. </w:t>
            </w:r>
          </w:p>
        </w:tc>
        <w:tc>
          <w:tcPr>
            <w:tcW w:w="1701" w:type="dxa"/>
            <w:vAlign w:val="bottom"/>
          </w:tcPr>
          <w:p w:rsidR="00FD06F3" w:rsidRDefault="0054425B">
            <w:pPr>
              <w:widowControl w:val="0"/>
              <w:tabs>
                <w:tab w:val="decimal" w:pos="921"/>
              </w:tabs>
              <w:jc w:val="left"/>
              <w:rPr>
                <w:sz w:val="18"/>
                <w:szCs w:val="18"/>
              </w:rPr>
            </w:pPr>
            <w:r>
              <w:rPr>
                <w:sz w:val="18"/>
                <w:szCs w:val="18"/>
              </w:rPr>
              <w:t>20,00%</w:t>
            </w:r>
          </w:p>
        </w:tc>
        <w:tc>
          <w:tcPr>
            <w:tcW w:w="1701" w:type="dxa"/>
            <w:vAlign w:val="bottom"/>
          </w:tcPr>
          <w:p w:rsidR="00FD06F3" w:rsidRDefault="0054425B">
            <w:pPr>
              <w:widowControl w:val="0"/>
              <w:tabs>
                <w:tab w:val="decimal" w:pos="1247"/>
              </w:tabs>
              <w:jc w:val="left"/>
              <w:rPr>
                <w:sz w:val="18"/>
                <w:szCs w:val="18"/>
              </w:rPr>
            </w:pPr>
            <w:r>
              <w:rPr>
                <w:sz w:val="18"/>
                <w:szCs w:val="18"/>
              </w:rPr>
              <w:t>(20 309)</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 xml:space="preserve">Евро/руб. </w:t>
            </w:r>
          </w:p>
        </w:tc>
        <w:tc>
          <w:tcPr>
            <w:tcW w:w="1701" w:type="dxa"/>
            <w:vAlign w:val="bottom"/>
          </w:tcPr>
          <w:p w:rsidR="00FD06F3" w:rsidRDefault="0054425B">
            <w:pPr>
              <w:widowControl w:val="0"/>
              <w:tabs>
                <w:tab w:val="decimal" w:pos="921"/>
              </w:tabs>
              <w:jc w:val="left"/>
              <w:rPr>
                <w:sz w:val="18"/>
                <w:szCs w:val="18"/>
              </w:rPr>
            </w:pPr>
            <w:r>
              <w:rPr>
                <w:sz w:val="18"/>
                <w:szCs w:val="18"/>
              </w:rPr>
              <w:t>-20,00%</w:t>
            </w:r>
          </w:p>
        </w:tc>
        <w:tc>
          <w:tcPr>
            <w:tcW w:w="1701" w:type="dxa"/>
            <w:vAlign w:val="bottom"/>
          </w:tcPr>
          <w:p w:rsidR="00FD06F3" w:rsidRDefault="0054425B">
            <w:pPr>
              <w:widowControl w:val="0"/>
              <w:tabs>
                <w:tab w:val="decimal" w:pos="1247"/>
              </w:tabs>
              <w:jc w:val="left"/>
              <w:rPr>
                <w:sz w:val="18"/>
                <w:szCs w:val="18"/>
              </w:rPr>
            </w:pPr>
            <w:r>
              <w:rPr>
                <w:sz w:val="18"/>
                <w:szCs w:val="18"/>
              </w:rPr>
              <w:t>20 309</w:t>
            </w:r>
          </w:p>
        </w:tc>
      </w:tr>
    </w:tbl>
    <w:p w:rsidR="00FD06F3" w:rsidRDefault="00FD06F3">
      <w:pPr>
        <w:widowControl w:val="0"/>
        <w:rPr>
          <w:i/>
          <w:iCs/>
          <w:sz w:val="18"/>
        </w:rPr>
      </w:pPr>
    </w:p>
    <w:tbl>
      <w:tblPr>
        <w:tblW w:w="9638" w:type="dxa"/>
        <w:jc w:val="center"/>
        <w:tblLayout w:type="fixed"/>
        <w:tblLook w:val="01E0" w:firstRow="1" w:lastRow="1" w:firstColumn="1" w:lastColumn="1" w:noHBand="0" w:noVBand="0"/>
      </w:tblPr>
      <w:tblGrid>
        <w:gridCol w:w="6236"/>
        <w:gridCol w:w="1701"/>
        <w:gridCol w:w="1701"/>
      </w:tblGrid>
      <w:tr w:rsidR="00FD06F3">
        <w:trPr>
          <w:trHeight w:val="23"/>
          <w:jc w:val="center"/>
        </w:trPr>
        <w:tc>
          <w:tcPr>
            <w:tcW w:w="6236" w:type="dxa"/>
            <w:vAlign w:val="bottom"/>
          </w:tcPr>
          <w:p w:rsidR="00FD06F3" w:rsidRDefault="00FD06F3">
            <w:pPr>
              <w:pStyle w:val="ABC-paragrahinNotes"/>
              <w:widowControl w:val="0"/>
              <w:spacing w:after="0"/>
              <w:ind w:left="5" w:right="-108" w:hanging="113"/>
              <w:jc w:val="left"/>
              <w:rPr>
                <w:sz w:val="18"/>
                <w:szCs w:val="18"/>
              </w:rPr>
            </w:pPr>
          </w:p>
        </w:tc>
        <w:tc>
          <w:tcPr>
            <w:tcW w:w="1701" w:type="dxa"/>
            <w:tcBorders>
              <w:bottom w:val="single" w:sz="6" w:space="0" w:color="auto"/>
            </w:tcBorders>
            <w:vAlign w:val="bottom"/>
          </w:tcPr>
          <w:p w:rsidR="00FD06F3" w:rsidRDefault="0054425B">
            <w:pPr>
              <w:pStyle w:val="Level3"/>
              <w:widowControl w:val="0"/>
              <w:spacing w:after="0"/>
              <w:ind w:left="-108" w:right="-108"/>
              <w:jc w:val="center"/>
              <w:rPr>
                <w:sz w:val="18"/>
                <w:szCs w:val="18"/>
              </w:rPr>
            </w:pPr>
            <w:bookmarkStart w:id="177" w:name="_Toc387743893"/>
            <w:r>
              <w:rPr>
                <w:sz w:val="18"/>
                <w:szCs w:val="18"/>
              </w:rPr>
              <w:t>Увеличение/</w:t>
            </w:r>
            <w:r>
              <w:rPr>
                <w:sz w:val="18"/>
                <w:szCs w:val="18"/>
              </w:rPr>
              <w:br/>
              <w:t>уменьшение обменного курса</w:t>
            </w:r>
            <w:bookmarkEnd w:id="177"/>
          </w:p>
        </w:tc>
        <w:tc>
          <w:tcPr>
            <w:tcW w:w="1701" w:type="dxa"/>
            <w:tcBorders>
              <w:bottom w:val="single" w:sz="6" w:space="0" w:color="auto"/>
            </w:tcBorders>
            <w:vAlign w:val="bottom"/>
          </w:tcPr>
          <w:p w:rsidR="00FD06F3" w:rsidRDefault="0054425B">
            <w:pPr>
              <w:pStyle w:val="Level3"/>
              <w:widowControl w:val="0"/>
              <w:spacing w:after="0"/>
              <w:ind w:left="-108" w:right="-108"/>
              <w:jc w:val="center"/>
              <w:rPr>
                <w:sz w:val="18"/>
                <w:szCs w:val="18"/>
              </w:rPr>
            </w:pPr>
            <w:bookmarkStart w:id="178" w:name="_Toc387743894"/>
            <w:r>
              <w:rPr>
                <w:sz w:val="18"/>
                <w:szCs w:val="18"/>
              </w:rPr>
              <w:t>Влияние на прибыль до налогообложения</w:t>
            </w:r>
            <w:bookmarkEnd w:id="178"/>
          </w:p>
        </w:tc>
      </w:tr>
      <w:tr w:rsidR="00FD06F3">
        <w:trPr>
          <w:trHeight w:val="23"/>
          <w:jc w:val="center"/>
        </w:trPr>
        <w:tc>
          <w:tcPr>
            <w:tcW w:w="6236" w:type="dxa"/>
            <w:vAlign w:val="bottom"/>
          </w:tcPr>
          <w:p w:rsidR="00FD06F3" w:rsidRDefault="0054425B">
            <w:pPr>
              <w:pStyle w:val="Level3"/>
              <w:widowControl w:val="0"/>
              <w:spacing w:after="0"/>
              <w:ind w:left="5" w:right="-108" w:hanging="113"/>
              <w:jc w:val="left"/>
              <w:outlineLvl w:val="9"/>
              <w:rPr>
                <w:sz w:val="18"/>
                <w:szCs w:val="18"/>
              </w:rPr>
            </w:pPr>
            <w:bookmarkStart w:id="179" w:name="_Toc387743895"/>
            <w:r>
              <w:rPr>
                <w:sz w:val="18"/>
                <w:szCs w:val="18"/>
              </w:rPr>
              <w:t>На 31 декабря 2017 г.</w:t>
            </w:r>
            <w:bookmarkEnd w:id="179"/>
          </w:p>
        </w:tc>
        <w:tc>
          <w:tcPr>
            <w:tcW w:w="1701" w:type="dxa"/>
            <w:tcBorders>
              <w:top w:val="single" w:sz="6" w:space="0" w:color="auto"/>
            </w:tcBorders>
            <w:vAlign w:val="bottom"/>
          </w:tcPr>
          <w:p w:rsidR="00FD06F3" w:rsidRDefault="00FD06F3">
            <w:pPr>
              <w:widowControl w:val="0"/>
              <w:tabs>
                <w:tab w:val="decimal" w:pos="907"/>
              </w:tabs>
              <w:jc w:val="left"/>
              <w:rPr>
                <w:sz w:val="18"/>
                <w:szCs w:val="18"/>
              </w:rPr>
            </w:pPr>
          </w:p>
        </w:tc>
        <w:tc>
          <w:tcPr>
            <w:tcW w:w="1701" w:type="dxa"/>
            <w:tcBorders>
              <w:top w:val="single" w:sz="6" w:space="0" w:color="auto"/>
            </w:tcBorders>
            <w:vAlign w:val="bottom"/>
          </w:tcPr>
          <w:p w:rsidR="00FD06F3" w:rsidRDefault="00FD06F3">
            <w:pPr>
              <w:pStyle w:val="ABC-paragrahinNotes"/>
              <w:widowControl w:val="0"/>
              <w:tabs>
                <w:tab w:val="decimal" w:pos="1247"/>
              </w:tabs>
              <w:spacing w:after="0"/>
              <w:jc w:val="left"/>
              <w:rPr>
                <w:sz w:val="18"/>
                <w:szCs w:val="18"/>
              </w:rPr>
            </w:pPr>
          </w:p>
        </w:tc>
      </w:tr>
      <w:tr w:rsidR="00FD06F3">
        <w:trPr>
          <w:trHeight w:val="23"/>
          <w:jc w:val="center"/>
        </w:trPr>
        <w:tc>
          <w:tcPr>
            <w:tcW w:w="6236" w:type="dxa"/>
            <w:vAlign w:val="bottom"/>
          </w:tcPr>
          <w:p w:rsidR="00FD06F3" w:rsidRDefault="0054425B">
            <w:pPr>
              <w:pStyle w:val="Tabletext"/>
              <w:widowControl w:val="0"/>
              <w:ind w:left="5" w:right="-108" w:hanging="113"/>
              <w:jc w:val="left"/>
            </w:pPr>
            <w:r>
              <w:t xml:space="preserve">Доллары США/руб. </w:t>
            </w:r>
          </w:p>
        </w:tc>
        <w:tc>
          <w:tcPr>
            <w:tcW w:w="1701" w:type="dxa"/>
            <w:vAlign w:val="bottom"/>
          </w:tcPr>
          <w:p w:rsidR="00FD06F3" w:rsidRDefault="0054425B">
            <w:pPr>
              <w:widowControl w:val="0"/>
              <w:tabs>
                <w:tab w:val="decimal" w:pos="921"/>
              </w:tabs>
              <w:jc w:val="left"/>
              <w:rPr>
                <w:sz w:val="18"/>
                <w:szCs w:val="18"/>
              </w:rPr>
            </w:pPr>
            <w:r>
              <w:rPr>
                <w:sz w:val="18"/>
                <w:szCs w:val="18"/>
              </w:rPr>
              <w:t>11,00%</w:t>
            </w:r>
          </w:p>
        </w:tc>
        <w:tc>
          <w:tcPr>
            <w:tcW w:w="1701" w:type="dxa"/>
            <w:vAlign w:val="bottom"/>
          </w:tcPr>
          <w:p w:rsidR="00FD06F3" w:rsidRDefault="0054425B">
            <w:pPr>
              <w:widowControl w:val="0"/>
              <w:tabs>
                <w:tab w:val="decimal" w:pos="1247"/>
              </w:tabs>
              <w:jc w:val="left"/>
              <w:rPr>
                <w:sz w:val="18"/>
                <w:szCs w:val="18"/>
              </w:rPr>
            </w:pPr>
            <w:r>
              <w:rPr>
                <w:sz w:val="18"/>
                <w:szCs w:val="18"/>
              </w:rPr>
              <w:t>(92 259)</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 xml:space="preserve">Доллары США/руб. </w:t>
            </w:r>
          </w:p>
        </w:tc>
        <w:tc>
          <w:tcPr>
            <w:tcW w:w="1701" w:type="dxa"/>
            <w:vAlign w:val="bottom"/>
          </w:tcPr>
          <w:p w:rsidR="00FD06F3" w:rsidRDefault="0054425B">
            <w:pPr>
              <w:widowControl w:val="0"/>
              <w:tabs>
                <w:tab w:val="decimal" w:pos="921"/>
              </w:tabs>
              <w:jc w:val="left"/>
              <w:rPr>
                <w:sz w:val="18"/>
                <w:szCs w:val="18"/>
              </w:rPr>
            </w:pPr>
            <w:r>
              <w:rPr>
                <w:sz w:val="18"/>
                <w:szCs w:val="18"/>
              </w:rPr>
              <w:t>-11,00%</w:t>
            </w:r>
          </w:p>
        </w:tc>
        <w:tc>
          <w:tcPr>
            <w:tcW w:w="1701" w:type="dxa"/>
            <w:vAlign w:val="bottom"/>
          </w:tcPr>
          <w:p w:rsidR="00FD06F3" w:rsidRDefault="0054425B">
            <w:pPr>
              <w:widowControl w:val="0"/>
              <w:tabs>
                <w:tab w:val="decimal" w:pos="1247"/>
              </w:tabs>
              <w:jc w:val="left"/>
              <w:rPr>
                <w:sz w:val="18"/>
                <w:szCs w:val="18"/>
              </w:rPr>
            </w:pPr>
            <w:r>
              <w:rPr>
                <w:sz w:val="18"/>
                <w:szCs w:val="18"/>
              </w:rPr>
              <w:t>92 259</w:t>
            </w:r>
          </w:p>
        </w:tc>
      </w:tr>
      <w:tr w:rsidR="00FD06F3">
        <w:trPr>
          <w:trHeight w:hRule="exact" w:val="113"/>
          <w:jc w:val="center"/>
        </w:trPr>
        <w:tc>
          <w:tcPr>
            <w:tcW w:w="6236" w:type="dxa"/>
            <w:vAlign w:val="bottom"/>
          </w:tcPr>
          <w:p w:rsidR="00FD06F3" w:rsidRDefault="0054425B">
            <w:pPr>
              <w:pStyle w:val="Tabletext"/>
              <w:widowControl w:val="0"/>
              <w:ind w:left="5" w:right="-108" w:hanging="113"/>
              <w:jc w:val="left"/>
            </w:pPr>
            <w:r>
              <w:t xml:space="preserve"> </w:t>
            </w:r>
          </w:p>
        </w:tc>
        <w:tc>
          <w:tcPr>
            <w:tcW w:w="1701" w:type="dxa"/>
            <w:vAlign w:val="bottom"/>
          </w:tcPr>
          <w:p w:rsidR="00FD06F3" w:rsidRDefault="00FD06F3">
            <w:pPr>
              <w:widowControl w:val="0"/>
              <w:tabs>
                <w:tab w:val="decimal" w:pos="907"/>
              </w:tabs>
              <w:jc w:val="left"/>
              <w:rPr>
                <w:sz w:val="18"/>
                <w:szCs w:val="18"/>
              </w:rPr>
            </w:pPr>
          </w:p>
        </w:tc>
        <w:tc>
          <w:tcPr>
            <w:tcW w:w="1701" w:type="dxa"/>
            <w:vAlign w:val="bottom"/>
          </w:tcPr>
          <w:p w:rsidR="00FD06F3" w:rsidRDefault="00FD06F3">
            <w:pPr>
              <w:widowControl w:val="0"/>
              <w:tabs>
                <w:tab w:val="decimal" w:pos="1247"/>
              </w:tabs>
              <w:jc w:val="left"/>
              <w:rPr>
                <w:sz w:val="18"/>
                <w:szCs w:val="18"/>
              </w:rPr>
            </w:pPr>
          </w:p>
        </w:tc>
      </w:tr>
      <w:tr w:rsidR="00FD06F3">
        <w:trPr>
          <w:trHeight w:val="23"/>
          <w:jc w:val="center"/>
        </w:trPr>
        <w:tc>
          <w:tcPr>
            <w:tcW w:w="6236" w:type="dxa"/>
            <w:vAlign w:val="bottom"/>
          </w:tcPr>
          <w:p w:rsidR="00FD06F3" w:rsidRDefault="0054425B">
            <w:pPr>
              <w:pStyle w:val="Level3"/>
              <w:widowControl w:val="0"/>
              <w:spacing w:after="0"/>
              <w:ind w:left="5" w:right="-108" w:hanging="113"/>
              <w:jc w:val="left"/>
              <w:outlineLvl w:val="9"/>
              <w:rPr>
                <w:sz w:val="18"/>
                <w:szCs w:val="18"/>
              </w:rPr>
            </w:pPr>
            <w:r>
              <w:rPr>
                <w:sz w:val="18"/>
                <w:szCs w:val="18"/>
              </w:rPr>
              <w:t>На 31 декабря 2016 г.</w:t>
            </w:r>
          </w:p>
        </w:tc>
        <w:tc>
          <w:tcPr>
            <w:tcW w:w="1701" w:type="dxa"/>
            <w:vAlign w:val="bottom"/>
          </w:tcPr>
          <w:p w:rsidR="00FD06F3" w:rsidRDefault="00FD06F3">
            <w:pPr>
              <w:widowControl w:val="0"/>
              <w:tabs>
                <w:tab w:val="decimal" w:pos="907"/>
              </w:tabs>
              <w:jc w:val="left"/>
              <w:rPr>
                <w:b/>
                <w:bCs/>
                <w:sz w:val="18"/>
                <w:szCs w:val="18"/>
              </w:rPr>
            </w:pPr>
          </w:p>
        </w:tc>
        <w:tc>
          <w:tcPr>
            <w:tcW w:w="1701" w:type="dxa"/>
            <w:vAlign w:val="bottom"/>
          </w:tcPr>
          <w:p w:rsidR="00FD06F3" w:rsidRDefault="00FD06F3">
            <w:pPr>
              <w:widowControl w:val="0"/>
              <w:tabs>
                <w:tab w:val="decimal" w:pos="1247"/>
              </w:tabs>
              <w:jc w:val="left"/>
              <w:rPr>
                <w:b/>
                <w:bCs/>
                <w:sz w:val="18"/>
                <w:szCs w:val="18"/>
              </w:rPr>
            </w:pPr>
          </w:p>
        </w:tc>
      </w:tr>
      <w:tr w:rsidR="00FD06F3">
        <w:trPr>
          <w:trHeight w:val="23"/>
          <w:jc w:val="center"/>
        </w:trPr>
        <w:tc>
          <w:tcPr>
            <w:tcW w:w="6236" w:type="dxa"/>
            <w:vAlign w:val="bottom"/>
          </w:tcPr>
          <w:p w:rsidR="00FD06F3" w:rsidRDefault="0054425B">
            <w:pPr>
              <w:pStyle w:val="Tabletext"/>
              <w:widowControl w:val="0"/>
              <w:ind w:left="5" w:right="-108" w:hanging="113"/>
              <w:jc w:val="left"/>
            </w:pPr>
            <w:r>
              <w:t xml:space="preserve">Доллары США/руб. </w:t>
            </w:r>
          </w:p>
        </w:tc>
        <w:tc>
          <w:tcPr>
            <w:tcW w:w="1701" w:type="dxa"/>
            <w:vAlign w:val="bottom"/>
          </w:tcPr>
          <w:p w:rsidR="00FD06F3" w:rsidRDefault="0054425B">
            <w:pPr>
              <w:widowControl w:val="0"/>
              <w:tabs>
                <w:tab w:val="decimal" w:pos="907"/>
              </w:tabs>
              <w:jc w:val="left"/>
              <w:rPr>
                <w:sz w:val="18"/>
                <w:szCs w:val="18"/>
              </w:rPr>
            </w:pPr>
            <w:r>
              <w:rPr>
                <w:sz w:val="18"/>
                <w:szCs w:val="18"/>
              </w:rPr>
              <w:t>20,00%</w:t>
            </w:r>
          </w:p>
        </w:tc>
        <w:tc>
          <w:tcPr>
            <w:tcW w:w="1701" w:type="dxa"/>
            <w:vAlign w:val="bottom"/>
          </w:tcPr>
          <w:p w:rsidR="00FD06F3" w:rsidRDefault="0054425B">
            <w:pPr>
              <w:widowControl w:val="0"/>
              <w:tabs>
                <w:tab w:val="decimal" w:pos="1247"/>
              </w:tabs>
              <w:jc w:val="left"/>
              <w:rPr>
                <w:sz w:val="18"/>
                <w:szCs w:val="18"/>
              </w:rPr>
            </w:pPr>
            <w:r>
              <w:rPr>
                <w:sz w:val="18"/>
                <w:szCs w:val="18"/>
              </w:rPr>
              <w:t>(137 052)</w:t>
            </w:r>
          </w:p>
        </w:tc>
      </w:tr>
      <w:tr w:rsidR="00FD06F3">
        <w:trPr>
          <w:trHeight w:val="23"/>
          <w:jc w:val="center"/>
        </w:trPr>
        <w:tc>
          <w:tcPr>
            <w:tcW w:w="6236" w:type="dxa"/>
            <w:vAlign w:val="bottom"/>
          </w:tcPr>
          <w:p w:rsidR="00FD06F3" w:rsidRDefault="0054425B">
            <w:pPr>
              <w:pStyle w:val="Tabletext"/>
              <w:widowControl w:val="0"/>
              <w:ind w:left="5" w:right="-108" w:hanging="113"/>
              <w:jc w:val="left"/>
            </w:pPr>
            <w:r>
              <w:t xml:space="preserve">Доллары США/руб. </w:t>
            </w:r>
          </w:p>
        </w:tc>
        <w:tc>
          <w:tcPr>
            <w:tcW w:w="1701" w:type="dxa"/>
            <w:vAlign w:val="bottom"/>
          </w:tcPr>
          <w:p w:rsidR="00FD06F3" w:rsidRDefault="0054425B">
            <w:pPr>
              <w:widowControl w:val="0"/>
              <w:tabs>
                <w:tab w:val="decimal" w:pos="907"/>
              </w:tabs>
              <w:jc w:val="left"/>
              <w:rPr>
                <w:sz w:val="18"/>
                <w:szCs w:val="18"/>
              </w:rPr>
            </w:pPr>
            <w:r>
              <w:rPr>
                <w:sz w:val="18"/>
                <w:szCs w:val="18"/>
              </w:rPr>
              <w:t>-20,00%</w:t>
            </w:r>
          </w:p>
        </w:tc>
        <w:tc>
          <w:tcPr>
            <w:tcW w:w="1701" w:type="dxa"/>
            <w:vAlign w:val="bottom"/>
          </w:tcPr>
          <w:p w:rsidR="00FD06F3" w:rsidRDefault="0054425B">
            <w:pPr>
              <w:widowControl w:val="0"/>
              <w:tabs>
                <w:tab w:val="decimal" w:pos="1247"/>
              </w:tabs>
              <w:jc w:val="left"/>
              <w:rPr>
                <w:sz w:val="18"/>
                <w:szCs w:val="18"/>
              </w:rPr>
            </w:pPr>
            <w:r>
              <w:rPr>
                <w:sz w:val="18"/>
                <w:szCs w:val="18"/>
              </w:rPr>
              <w:t>137 052</w:t>
            </w:r>
          </w:p>
        </w:tc>
      </w:tr>
    </w:tbl>
    <w:p w:rsidR="00FD06F3" w:rsidRDefault="0054425B">
      <w:pPr>
        <w:rPr>
          <w:sz w:val="6"/>
        </w:rPr>
      </w:pPr>
      <w:r>
        <w:rPr>
          <w:sz w:val="6"/>
        </w:rPr>
        <w:br w:type="page"/>
      </w:r>
    </w:p>
    <w:p w:rsidR="00FD06F3" w:rsidRDefault="0054425B">
      <w:pPr>
        <w:pStyle w:val="13"/>
      </w:pPr>
      <w:r>
        <w:lastRenderedPageBreak/>
        <w:t>21.</w:t>
      </w:r>
      <w:r>
        <w:tab/>
        <w:t>Финансовые инструменты и задачи и принципы управления финансовыми рисками (</w:t>
      </w:r>
      <w:r>
        <w:rPr>
          <w:caps w:val="0"/>
        </w:rPr>
        <w:t>продолжение</w:t>
      </w:r>
      <w:r>
        <w:t>)</w:t>
      </w:r>
    </w:p>
    <w:p w:rsidR="00FD06F3" w:rsidRDefault="00FD06F3">
      <w:pPr>
        <w:widowControl w:val="0"/>
        <w:rPr>
          <w:sz w:val="18"/>
        </w:rPr>
      </w:pPr>
    </w:p>
    <w:p w:rsidR="00FD06F3" w:rsidRDefault="0054425B">
      <w:pPr>
        <w:widowControl w:val="0"/>
        <w:rPr>
          <w:b/>
          <w:iCs/>
        </w:rPr>
      </w:pPr>
      <w:r>
        <w:rPr>
          <w:b/>
          <w:iCs/>
        </w:rPr>
        <w:t>Риск ликвидности</w:t>
      </w:r>
    </w:p>
    <w:p w:rsidR="00FD06F3" w:rsidRDefault="00FD06F3">
      <w:pPr>
        <w:widowControl w:val="0"/>
        <w:rPr>
          <w:sz w:val="18"/>
        </w:rPr>
      </w:pPr>
    </w:p>
    <w:p w:rsidR="00FD06F3" w:rsidRDefault="0054425B">
      <w:pPr>
        <w:widowControl w:val="0"/>
      </w:pPr>
      <w:r>
        <w:t xml:space="preserve">Для выполнения своих операционных и финансовых обязательств Группа </w:t>
      </w:r>
      <w:r>
        <w:t>поддерживает на достаточном уровне денежные средства и их эквиваленты, либо обеспечивает наличие доступных кредитных ресурсов или финансирования со стороны материнской компании в необходимом объеме. Группа осуществляет непрерывный мониторинг риска нехватки</w:t>
      </w:r>
      <w:r>
        <w:t xml:space="preserve"> денежных средств и непрерывный мониторинг своевременного выполнения своих финансовых обязательств. Группа на ежедневной основе осуществляет процедуры планирования и контроля движения денежных средств.</w:t>
      </w:r>
    </w:p>
    <w:p w:rsidR="00FD06F3" w:rsidRDefault="00FD06F3">
      <w:pPr>
        <w:widowControl w:val="0"/>
        <w:rPr>
          <w:sz w:val="18"/>
        </w:rPr>
      </w:pPr>
    </w:p>
    <w:p w:rsidR="00FD06F3" w:rsidRDefault="0054425B">
      <w:pPr>
        <w:widowControl w:val="0"/>
      </w:pPr>
      <w:r>
        <w:t>В таблице ниже представлены сроки погашения непроизво</w:t>
      </w:r>
      <w:r>
        <w:t xml:space="preserve">дных финансовых обязательств Группы, исходя из недисконтированных платежей в соответствии с договорными условиями (с учетом процентов). </w:t>
      </w:r>
    </w:p>
    <w:p w:rsidR="00FD06F3" w:rsidRDefault="00FD06F3">
      <w:pPr>
        <w:widowControl w:val="0"/>
      </w:pPr>
    </w:p>
    <w:tbl>
      <w:tblPr>
        <w:tblW w:w="9639" w:type="dxa"/>
        <w:jc w:val="center"/>
        <w:tblLayout w:type="fixed"/>
        <w:tblLook w:val="01E0" w:firstRow="1" w:lastRow="1" w:firstColumn="1" w:lastColumn="1" w:noHBand="0" w:noVBand="0"/>
      </w:tblPr>
      <w:tblGrid>
        <w:gridCol w:w="2554"/>
        <w:gridCol w:w="1417"/>
        <w:gridCol w:w="1417"/>
        <w:gridCol w:w="1417"/>
        <w:gridCol w:w="1417"/>
        <w:gridCol w:w="1417"/>
      </w:tblGrid>
      <w:tr w:rsidR="00FD06F3">
        <w:trPr>
          <w:trHeight w:val="23"/>
          <w:jc w:val="center"/>
        </w:trPr>
        <w:tc>
          <w:tcPr>
            <w:tcW w:w="2554" w:type="dxa"/>
            <w:shd w:val="clear" w:color="auto" w:fill="auto"/>
            <w:vAlign w:val="bottom"/>
          </w:tcPr>
          <w:p w:rsidR="00FD06F3" w:rsidRDefault="00FD06F3">
            <w:pPr>
              <w:pStyle w:val="Level3"/>
              <w:widowControl w:val="0"/>
              <w:spacing w:after="0"/>
              <w:ind w:left="5" w:right="-108" w:hanging="113"/>
              <w:jc w:val="left"/>
              <w:outlineLvl w:val="9"/>
              <w:rPr>
                <w:sz w:val="18"/>
                <w:szCs w:val="18"/>
              </w:rPr>
            </w:pPr>
          </w:p>
        </w:tc>
        <w:tc>
          <w:tcPr>
            <w:tcW w:w="1417" w:type="dxa"/>
            <w:tcBorders>
              <w:bottom w:val="single" w:sz="6" w:space="0" w:color="auto"/>
            </w:tcBorders>
            <w:shd w:val="clear" w:color="auto" w:fill="auto"/>
            <w:vAlign w:val="bottom"/>
          </w:tcPr>
          <w:p w:rsidR="00FD06F3" w:rsidRDefault="0054425B">
            <w:pPr>
              <w:pStyle w:val="Level3"/>
              <w:widowControl w:val="0"/>
              <w:spacing w:after="0"/>
              <w:ind w:left="-108" w:right="-108"/>
              <w:jc w:val="center"/>
              <w:rPr>
                <w:sz w:val="18"/>
                <w:szCs w:val="18"/>
              </w:rPr>
            </w:pPr>
            <w:bookmarkStart w:id="180" w:name="_Toc387743898"/>
            <w:r>
              <w:rPr>
                <w:sz w:val="18"/>
                <w:szCs w:val="18"/>
              </w:rPr>
              <w:t>Итого</w:t>
            </w:r>
            <w:bookmarkEnd w:id="180"/>
          </w:p>
        </w:tc>
        <w:tc>
          <w:tcPr>
            <w:tcW w:w="1417" w:type="dxa"/>
            <w:tcBorders>
              <w:bottom w:val="single" w:sz="6" w:space="0" w:color="auto"/>
            </w:tcBorders>
            <w:shd w:val="clear" w:color="auto" w:fill="auto"/>
            <w:vAlign w:val="bottom"/>
          </w:tcPr>
          <w:p w:rsidR="00FD06F3" w:rsidRDefault="0054425B">
            <w:pPr>
              <w:pStyle w:val="Level3"/>
              <w:widowControl w:val="0"/>
              <w:spacing w:after="0"/>
              <w:ind w:left="-108" w:right="-108"/>
              <w:jc w:val="center"/>
              <w:rPr>
                <w:sz w:val="18"/>
                <w:szCs w:val="18"/>
              </w:rPr>
            </w:pPr>
            <w:bookmarkStart w:id="181" w:name="_Toc387743899"/>
            <w:r>
              <w:rPr>
                <w:sz w:val="18"/>
                <w:szCs w:val="18"/>
              </w:rPr>
              <w:t>Менее</w:t>
            </w:r>
            <w:bookmarkEnd w:id="181"/>
          </w:p>
          <w:p w:rsidR="00FD06F3" w:rsidRDefault="0054425B">
            <w:pPr>
              <w:pStyle w:val="Level3"/>
              <w:widowControl w:val="0"/>
              <w:spacing w:after="0"/>
              <w:ind w:left="-108" w:right="-108"/>
              <w:jc w:val="center"/>
              <w:rPr>
                <w:sz w:val="18"/>
                <w:szCs w:val="18"/>
              </w:rPr>
            </w:pPr>
            <w:bookmarkStart w:id="182" w:name="_Toc387743900"/>
            <w:r>
              <w:rPr>
                <w:sz w:val="18"/>
                <w:szCs w:val="18"/>
              </w:rPr>
              <w:t>3 месяцев</w:t>
            </w:r>
            <w:bookmarkEnd w:id="182"/>
          </w:p>
        </w:tc>
        <w:tc>
          <w:tcPr>
            <w:tcW w:w="1417" w:type="dxa"/>
            <w:tcBorders>
              <w:bottom w:val="single" w:sz="6" w:space="0" w:color="auto"/>
            </w:tcBorders>
            <w:shd w:val="clear" w:color="auto" w:fill="auto"/>
            <w:vAlign w:val="bottom"/>
          </w:tcPr>
          <w:p w:rsidR="00FD06F3" w:rsidRDefault="0054425B">
            <w:pPr>
              <w:pStyle w:val="Level3"/>
              <w:widowControl w:val="0"/>
              <w:spacing w:after="0"/>
              <w:ind w:left="-108" w:right="-108"/>
              <w:jc w:val="center"/>
              <w:rPr>
                <w:sz w:val="18"/>
                <w:szCs w:val="18"/>
              </w:rPr>
            </w:pPr>
            <w:bookmarkStart w:id="183" w:name="_Toc387743901"/>
            <w:r>
              <w:rPr>
                <w:sz w:val="18"/>
                <w:szCs w:val="18"/>
              </w:rPr>
              <w:t>От 3 до</w:t>
            </w:r>
            <w:bookmarkEnd w:id="183"/>
          </w:p>
          <w:p w:rsidR="00FD06F3" w:rsidRDefault="0054425B">
            <w:pPr>
              <w:pStyle w:val="Level3"/>
              <w:widowControl w:val="0"/>
              <w:spacing w:after="0"/>
              <w:ind w:left="-108" w:right="-108"/>
              <w:jc w:val="center"/>
              <w:rPr>
                <w:sz w:val="18"/>
                <w:szCs w:val="18"/>
              </w:rPr>
            </w:pPr>
            <w:bookmarkStart w:id="184" w:name="_Toc387743902"/>
            <w:r>
              <w:rPr>
                <w:sz w:val="18"/>
                <w:szCs w:val="18"/>
              </w:rPr>
              <w:t>6 месяцев</w:t>
            </w:r>
            <w:bookmarkEnd w:id="184"/>
          </w:p>
        </w:tc>
        <w:tc>
          <w:tcPr>
            <w:tcW w:w="1417" w:type="dxa"/>
            <w:tcBorders>
              <w:bottom w:val="single" w:sz="6" w:space="0" w:color="auto"/>
            </w:tcBorders>
            <w:shd w:val="clear" w:color="auto" w:fill="auto"/>
            <w:vAlign w:val="bottom"/>
          </w:tcPr>
          <w:p w:rsidR="00FD06F3" w:rsidRDefault="0054425B">
            <w:pPr>
              <w:pStyle w:val="Level3"/>
              <w:widowControl w:val="0"/>
              <w:spacing w:after="0"/>
              <w:ind w:left="-108" w:right="-108"/>
              <w:jc w:val="center"/>
              <w:rPr>
                <w:sz w:val="18"/>
                <w:szCs w:val="18"/>
              </w:rPr>
            </w:pPr>
            <w:bookmarkStart w:id="185" w:name="_Toc387743903"/>
            <w:r>
              <w:rPr>
                <w:sz w:val="18"/>
                <w:szCs w:val="18"/>
              </w:rPr>
              <w:t>От 6 до</w:t>
            </w:r>
            <w:bookmarkEnd w:id="185"/>
          </w:p>
          <w:p w:rsidR="00FD06F3" w:rsidRDefault="0054425B">
            <w:pPr>
              <w:pStyle w:val="Level3"/>
              <w:widowControl w:val="0"/>
              <w:spacing w:after="0"/>
              <w:ind w:left="-108" w:right="-108"/>
              <w:jc w:val="center"/>
              <w:rPr>
                <w:sz w:val="18"/>
                <w:szCs w:val="18"/>
              </w:rPr>
            </w:pPr>
            <w:bookmarkStart w:id="186" w:name="_Toc387743904"/>
            <w:r>
              <w:rPr>
                <w:sz w:val="18"/>
                <w:szCs w:val="18"/>
              </w:rPr>
              <w:t>12 месяцев</w:t>
            </w:r>
            <w:bookmarkEnd w:id="186"/>
          </w:p>
        </w:tc>
        <w:tc>
          <w:tcPr>
            <w:tcW w:w="1417" w:type="dxa"/>
            <w:tcBorders>
              <w:bottom w:val="single" w:sz="6" w:space="0" w:color="auto"/>
            </w:tcBorders>
            <w:shd w:val="clear" w:color="auto" w:fill="auto"/>
            <w:vAlign w:val="bottom"/>
          </w:tcPr>
          <w:p w:rsidR="00FD06F3" w:rsidRDefault="0054425B">
            <w:pPr>
              <w:pStyle w:val="Level3"/>
              <w:widowControl w:val="0"/>
              <w:spacing w:after="0"/>
              <w:ind w:left="-108" w:right="-108"/>
              <w:jc w:val="center"/>
              <w:rPr>
                <w:sz w:val="18"/>
                <w:szCs w:val="18"/>
              </w:rPr>
            </w:pPr>
            <w:bookmarkStart w:id="187" w:name="_Toc387743905"/>
            <w:r>
              <w:rPr>
                <w:sz w:val="18"/>
                <w:szCs w:val="18"/>
              </w:rPr>
              <w:t xml:space="preserve">От 1 года </w:t>
            </w:r>
            <w:r>
              <w:rPr>
                <w:sz w:val="18"/>
                <w:szCs w:val="18"/>
              </w:rPr>
              <w:br/>
              <w:t>до 5 лет</w:t>
            </w:r>
            <w:bookmarkEnd w:id="187"/>
          </w:p>
        </w:tc>
      </w:tr>
      <w:tr w:rsidR="00FD06F3">
        <w:trPr>
          <w:trHeight w:val="23"/>
          <w:jc w:val="center"/>
        </w:trPr>
        <w:tc>
          <w:tcPr>
            <w:tcW w:w="2554" w:type="dxa"/>
            <w:shd w:val="clear" w:color="auto" w:fill="auto"/>
            <w:vAlign w:val="bottom"/>
          </w:tcPr>
          <w:p w:rsidR="00FD06F3" w:rsidRDefault="0054425B">
            <w:pPr>
              <w:pStyle w:val="Level3"/>
              <w:widowControl w:val="0"/>
              <w:spacing w:after="0"/>
              <w:ind w:left="5" w:right="-108" w:hanging="113"/>
              <w:jc w:val="left"/>
              <w:outlineLvl w:val="9"/>
              <w:rPr>
                <w:sz w:val="18"/>
                <w:szCs w:val="18"/>
              </w:rPr>
            </w:pPr>
            <w:bookmarkStart w:id="188" w:name="_Toc387743906"/>
            <w:r>
              <w:rPr>
                <w:sz w:val="18"/>
                <w:szCs w:val="18"/>
              </w:rPr>
              <w:t>На 31 декабря 2017 г.</w:t>
            </w:r>
            <w:bookmarkEnd w:id="188"/>
          </w:p>
        </w:tc>
        <w:tc>
          <w:tcPr>
            <w:tcW w:w="1417" w:type="dxa"/>
            <w:tcBorders>
              <w:top w:val="single" w:sz="6" w:space="0" w:color="auto"/>
            </w:tcBorders>
            <w:shd w:val="clear" w:color="auto" w:fill="auto"/>
            <w:vAlign w:val="bottom"/>
          </w:tcPr>
          <w:p w:rsidR="00FD06F3" w:rsidRDefault="00FD06F3">
            <w:pPr>
              <w:pStyle w:val="Level3"/>
              <w:widowControl w:val="0"/>
              <w:tabs>
                <w:tab w:val="decimal" w:pos="1021"/>
              </w:tabs>
              <w:spacing w:after="0"/>
              <w:jc w:val="left"/>
              <w:outlineLvl w:val="9"/>
              <w:rPr>
                <w:sz w:val="18"/>
                <w:szCs w:val="18"/>
              </w:rPr>
            </w:pPr>
          </w:p>
        </w:tc>
        <w:tc>
          <w:tcPr>
            <w:tcW w:w="1417" w:type="dxa"/>
            <w:tcBorders>
              <w:top w:val="single" w:sz="6" w:space="0" w:color="auto"/>
            </w:tcBorders>
            <w:shd w:val="clear" w:color="auto" w:fill="auto"/>
            <w:vAlign w:val="bottom"/>
          </w:tcPr>
          <w:p w:rsidR="00FD06F3" w:rsidRDefault="00FD06F3">
            <w:pPr>
              <w:pStyle w:val="Level3"/>
              <w:widowControl w:val="0"/>
              <w:tabs>
                <w:tab w:val="decimal" w:pos="1021"/>
              </w:tabs>
              <w:spacing w:after="0"/>
              <w:jc w:val="left"/>
              <w:outlineLvl w:val="9"/>
              <w:rPr>
                <w:sz w:val="18"/>
                <w:szCs w:val="18"/>
              </w:rPr>
            </w:pPr>
          </w:p>
        </w:tc>
        <w:tc>
          <w:tcPr>
            <w:tcW w:w="1417" w:type="dxa"/>
            <w:tcBorders>
              <w:top w:val="single" w:sz="6" w:space="0" w:color="auto"/>
            </w:tcBorders>
            <w:shd w:val="clear" w:color="auto" w:fill="auto"/>
            <w:vAlign w:val="bottom"/>
          </w:tcPr>
          <w:p w:rsidR="00FD06F3" w:rsidRDefault="00FD06F3">
            <w:pPr>
              <w:pStyle w:val="Level3"/>
              <w:widowControl w:val="0"/>
              <w:tabs>
                <w:tab w:val="decimal" w:pos="1021"/>
              </w:tabs>
              <w:spacing w:after="0"/>
              <w:jc w:val="left"/>
              <w:outlineLvl w:val="9"/>
              <w:rPr>
                <w:sz w:val="18"/>
                <w:szCs w:val="18"/>
              </w:rPr>
            </w:pPr>
          </w:p>
        </w:tc>
        <w:tc>
          <w:tcPr>
            <w:tcW w:w="1417" w:type="dxa"/>
            <w:tcBorders>
              <w:top w:val="single" w:sz="6" w:space="0" w:color="auto"/>
            </w:tcBorders>
            <w:shd w:val="clear" w:color="auto" w:fill="auto"/>
            <w:vAlign w:val="bottom"/>
          </w:tcPr>
          <w:p w:rsidR="00FD06F3" w:rsidRDefault="00FD06F3">
            <w:pPr>
              <w:pStyle w:val="Level3"/>
              <w:widowControl w:val="0"/>
              <w:tabs>
                <w:tab w:val="decimal" w:pos="1021"/>
              </w:tabs>
              <w:spacing w:after="0"/>
              <w:jc w:val="left"/>
              <w:outlineLvl w:val="9"/>
              <w:rPr>
                <w:sz w:val="18"/>
                <w:szCs w:val="18"/>
              </w:rPr>
            </w:pPr>
          </w:p>
        </w:tc>
        <w:tc>
          <w:tcPr>
            <w:tcW w:w="1417" w:type="dxa"/>
            <w:tcBorders>
              <w:top w:val="single" w:sz="6" w:space="0" w:color="auto"/>
            </w:tcBorders>
            <w:shd w:val="clear" w:color="auto" w:fill="auto"/>
            <w:vAlign w:val="bottom"/>
          </w:tcPr>
          <w:p w:rsidR="00FD06F3" w:rsidRDefault="00FD06F3">
            <w:pPr>
              <w:pStyle w:val="Level3"/>
              <w:widowControl w:val="0"/>
              <w:tabs>
                <w:tab w:val="decimal" w:pos="1021"/>
              </w:tabs>
              <w:spacing w:after="0"/>
              <w:jc w:val="left"/>
              <w:outlineLvl w:val="9"/>
              <w:rPr>
                <w:sz w:val="18"/>
                <w:szCs w:val="18"/>
              </w:rPr>
            </w:pPr>
          </w:p>
        </w:tc>
      </w:tr>
      <w:tr w:rsidR="00FD06F3">
        <w:trPr>
          <w:trHeight w:val="23"/>
          <w:jc w:val="center"/>
        </w:trPr>
        <w:tc>
          <w:tcPr>
            <w:tcW w:w="2554" w:type="dxa"/>
            <w:shd w:val="clear" w:color="auto" w:fill="auto"/>
            <w:vAlign w:val="bottom"/>
          </w:tcPr>
          <w:p w:rsidR="00FD06F3" w:rsidRDefault="0054425B">
            <w:pPr>
              <w:pStyle w:val="Tabletext"/>
              <w:widowControl w:val="0"/>
              <w:ind w:left="5" w:right="-108" w:hanging="113"/>
              <w:jc w:val="left"/>
            </w:pPr>
            <w:r>
              <w:t xml:space="preserve">Кредиты и займы </w:t>
            </w:r>
          </w:p>
        </w:tc>
        <w:tc>
          <w:tcPr>
            <w:tcW w:w="1417" w:type="dxa"/>
            <w:shd w:val="clear" w:color="auto" w:fill="auto"/>
            <w:vAlign w:val="bottom"/>
          </w:tcPr>
          <w:p w:rsidR="00FD06F3" w:rsidRDefault="0054425B">
            <w:pPr>
              <w:pStyle w:val="Tabletext"/>
              <w:widowControl w:val="0"/>
              <w:tabs>
                <w:tab w:val="decimal" w:pos="1021"/>
              </w:tabs>
              <w:jc w:val="left"/>
              <w:rPr>
                <w:b/>
              </w:rPr>
            </w:pPr>
            <w:r>
              <w:rPr>
                <w:b/>
              </w:rPr>
              <w:t>105 690</w:t>
            </w:r>
          </w:p>
        </w:tc>
        <w:tc>
          <w:tcPr>
            <w:tcW w:w="1417" w:type="dxa"/>
            <w:shd w:val="clear" w:color="auto" w:fill="auto"/>
            <w:vAlign w:val="bottom"/>
          </w:tcPr>
          <w:p w:rsidR="00FD06F3" w:rsidRDefault="0054425B">
            <w:pPr>
              <w:pStyle w:val="Tabletext"/>
              <w:widowControl w:val="0"/>
              <w:tabs>
                <w:tab w:val="decimal" w:pos="1021"/>
              </w:tabs>
              <w:jc w:val="left"/>
            </w:pPr>
            <w:r>
              <w:t>10 615</w:t>
            </w:r>
          </w:p>
        </w:tc>
        <w:tc>
          <w:tcPr>
            <w:tcW w:w="1417" w:type="dxa"/>
            <w:shd w:val="clear" w:color="auto" w:fill="auto"/>
            <w:vAlign w:val="bottom"/>
          </w:tcPr>
          <w:p w:rsidR="00FD06F3" w:rsidRDefault="0054425B">
            <w:pPr>
              <w:pStyle w:val="Tabletext"/>
              <w:widowControl w:val="0"/>
              <w:tabs>
                <w:tab w:val="decimal" w:pos="1021"/>
              </w:tabs>
              <w:jc w:val="left"/>
            </w:pPr>
            <w:r>
              <w:t>10 615</w:t>
            </w:r>
          </w:p>
        </w:tc>
        <w:tc>
          <w:tcPr>
            <w:tcW w:w="1417" w:type="dxa"/>
            <w:shd w:val="clear" w:color="auto" w:fill="auto"/>
            <w:vAlign w:val="bottom"/>
          </w:tcPr>
          <w:p w:rsidR="00FD06F3" w:rsidRDefault="0054425B">
            <w:pPr>
              <w:pStyle w:val="Tabletext"/>
              <w:widowControl w:val="0"/>
              <w:tabs>
                <w:tab w:val="decimal" w:pos="1021"/>
              </w:tabs>
              <w:jc w:val="left"/>
            </w:pPr>
            <w:r>
              <w:t>21 230</w:t>
            </w:r>
          </w:p>
        </w:tc>
        <w:tc>
          <w:tcPr>
            <w:tcW w:w="1417" w:type="dxa"/>
            <w:shd w:val="clear" w:color="auto" w:fill="auto"/>
            <w:vAlign w:val="bottom"/>
          </w:tcPr>
          <w:p w:rsidR="00FD06F3" w:rsidRDefault="0054425B">
            <w:pPr>
              <w:pStyle w:val="Tabletext"/>
              <w:widowControl w:val="0"/>
              <w:tabs>
                <w:tab w:val="decimal" w:pos="1021"/>
              </w:tabs>
              <w:jc w:val="left"/>
            </w:pPr>
            <w:r>
              <w:t>63 230</w:t>
            </w:r>
          </w:p>
        </w:tc>
      </w:tr>
      <w:tr w:rsidR="00FD06F3">
        <w:trPr>
          <w:trHeight w:val="23"/>
          <w:jc w:val="center"/>
        </w:trPr>
        <w:tc>
          <w:tcPr>
            <w:tcW w:w="2554" w:type="dxa"/>
            <w:shd w:val="clear" w:color="auto" w:fill="auto"/>
            <w:vAlign w:val="bottom"/>
          </w:tcPr>
          <w:p w:rsidR="00FD06F3" w:rsidRDefault="0054425B">
            <w:pPr>
              <w:pStyle w:val="Tabletext"/>
              <w:widowControl w:val="0"/>
              <w:ind w:left="5" w:right="-108" w:hanging="113"/>
              <w:jc w:val="left"/>
            </w:pPr>
            <w:r>
              <w:t>Кредиты и займы, полученные от связанных сторон</w:t>
            </w:r>
          </w:p>
        </w:tc>
        <w:tc>
          <w:tcPr>
            <w:tcW w:w="1417" w:type="dxa"/>
            <w:shd w:val="clear" w:color="auto" w:fill="auto"/>
            <w:vAlign w:val="bottom"/>
          </w:tcPr>
          <w:p w:rsidR="00FD06F3" w:rsidRDefault="0054425B">
            <w:pPr>
              <w:pStyle w:val="Tabletext"/>
              <w:widowControl w:val="0"/>
              <w:tabs>
                <w:tab w:val="decimal" w:pos="1021"/>
              </w:tabs>
              <w:jc w:val="left"/>
              <w:rPr>
                <w:b/>
              </w:rPr>
            </w:pPr>
            <w:r>
              <w:rPr>
                <w:b/>
              </w:rPr>
              <w:t>103 531</w:t>
            </w:r>
          </w:p>
        </w:tc>
        <w:tc>
          <w:tcPr>
            <w:tcW w:w="1417" w:type="dxa"/>
            <w:shd w:val="clear" w:color="auto" w:fill="auto"/>
            <w:vAlign w:val="bottom"/>
          </w:tcPr>
          <w:p w:rsidR="00FD06F3" w:rsidRDefault="0054425B">
            <w:pPr>
              <w:pStyle w:val="Tabletext"/>
              <w:widowControl w:val="0"/>
              <w:tabs>
                <w:tab w:val="decimal" w:pos="1021"/>
              </w:tabs>
              <w:jc w:val="left"/>
            </w:pPr>
            <w:r>
              <w:t>40 499</w:t>
            </w:r>
          </w:p>
        </w:tc>
        <w:tc>
          <w:tcPr>
            <w:tcW w:w="1417" w:type="dxa"/>
            <w:shd w:val="clear" w:color="auto" w:fill="auto"/>
            <w:vAlign w:val="bottom"/>
          </w:tcPr>
          <w:p w:rsidR="00FD06F3" w:rsidRDefault="0054425B">
            <w:pPr>
              <w:pStyle w:val="Tabletext"/>
              <w:widowControl w:val="0"/>
              <w:tabs>
                <w:tab w:val="decimal" w:pos="1021"/>
              </w:tabs>
              <w:jc w:val="left"/>
            </w:pPr>
            <w:r>
              <w:t>39 809</w:t>
            </w:r>
          </w:p>
        </w:tc>
        <w:tc>
          <w:tcPr>
            <w:tcW w:w="1417" w:type="dxa"/>
            <w:shd w:val="clear" w:color="auto" w:fill="auto"/>
            <w:vAlign w:val="bottom"/>
          </w:tcPr>
          <w:p w:rsidR="00FD06F3" w:rsidRDefault="0054425B">
            <w:pPr>
              <w:pStyle w:val="Tabletext"/>
              <w:widowControl w:val="0"/>
              <w:tabs>
                <w:tab w:val="decimal" w:pos="1021"/>
              </w:tabs>
              <w:jc w:val="left"/>
            </w:pPr>
            <w:r>
              <w:t>902</w:t>
            </w:r>
          </w:p>
        </w:tc>
        <w:tc>
          <w:tcPr>
            <w:tcW w:w="1417" w:type="dxa"/>
            <w:shd w:val="clear" w:color="auto" w:fill="auto"/>
            <w:vAlign w:val="bottom"/>
          </w:tcPr>
          <w:p w:rsidR="00FD06F3" w:rsidRDefault="0054425B">
            <w:pPr>
              <w:pStyle w:val="Tabletext"/>
              <w:widowControl w:val="0"/>
              <w:tabs>
                <w:tab w:val="decimal" w:pos="1021"/>
              </w:tabs>
              <w:jc w:val="left"/>
            </w:pPr>
            <w:r>
              <w:t>22 321</w:t>
            </w:r>
          </w:p>
        </w:tc>
      </w:tr>
      <w:tr w:rsidR="00FD06F3">
        <w:trPr>
          <w:trHeight w:val="23"/>
          <w:jc w:val="center"/>
        </w:trPr>
        <w:tc>
          <w:tcPr>
            <w:tcW w:w="2554" w:type="dxa"/>
            <w:shd w:val="clear" w:color="auto" w:fill="auto"/>
            <w:vAlign w:val="bottom"/>
          </w:tcPr>
          <w:p w:rsidR="00FD06F3" w:rsidRDefault="0054425B">
            <w:pPr>
              <w:pStyle w:val="Tabletext"/>
              <w:widowControl w:val="0"/>
              <w:ind w:left="5" w:right="-108" w:hanging="113"/>
              <w:jc w:val="left"/>
            </w:pPr>
            <w:r>
              <w:t>Кредиторская задолженность</w:t>
            </w:r>
          </w:p>
        </w:tc>
        <w:tc>
          <w:tcPr>
            <w:tcW w:w="1417" w:type="dxa"/>
            <w:tcBorders>
              <w:bottom w:val="single" w:sz="6" w:space="0" w:color="auto"/>
            </w:tcBorders>
            <w:shd w:val="clear" w:color="auto" w:fill="auto"/>
            <w:vAlign w:val="bottom"/>
          </w:tcPr>
          <w:p w:rsidR="00FD06F3" w:rsidRDefault="0054425B">
            <w:pPr>
              <w:pStyle w:val="Tabletext"/>
              <w:widowControl w:val="0"/>
              <w:tabs>
                <w:tab w:val="decimal" w:pos="1021"/>
              </w:tabs>
              <w:jc w:val="left"/>
              <w:rPr>
                <w:b/>
              </w:rPr>
            </w:pPr>
            <w:r>
              <w:rPr>
                <w:b/>
              </w:rPr>
              <w:t>2 591 569</w:t>
            </w:r>
          </w:p>
        </w:tc>
        <w:tc>
          <w:tcPr>
            <w:tcW w:w="1417" w:type="dxa"/>
            <w:tcBorders>
              <w:bottom w:val="single" w:sz="6" w:space="0" w:color="auto"/>
            </w:tcBorders>
            <w:shd w:val="clear" w:color="auto" w:fill="auto"/>
            <w:vAlign w:val="bottom"/>
          </w:tcPr>
          <w:p w:rsidR="00FD06F3" w:rsidRDefault="0054425B">
            <w:pPr>
              <w:pStyle w:val="Tabletext"/>
              <w:widowControl w:val="0"/>
              <w:tabs>
                <w:tab w:val="decimal" w:pos="1021"/>
              </w:tabs>
              <w:jc w:val="left"/>
            </w:pPr>
            <w:r>
              <w:t>2 485 579</w:t>
            </w:r>
          </w:p>
        </w:tc>
        <w:tc>
          <w:tcPr>
            <w:tcW w:w="1417" w:type="dxa"/>
            <w:tcBorders>
              <w:bottom w:val="single" w:sz="6" w:space="0" w:color="auto"/>
            </w:tcBorders>
            <w:shd w:val="clear" w:color="auto" w:fill="auto"/>
            <w:vAlign w:val="bottom"/>
          </w:tcPr>
          <w:p w:rsidR="00FD06F3" w:rsidRDefault="0054425B">
            <w:pPr>
              <w:pStyle w:val="Tabletext"/>
              <w:widowControl w:val="0"/>
              <w:tabs>
                <w:tab w:val="decimal" w:pos="1021"/>
              </w:tabs>
              <w:jc w:val="left"/>
            </w:pPr>
            <w:r>
              <w:t>105 990</w:t>
            </w:r>
          </w:p>
        </w:tc>
        <w:tc>
          <w:tcPr>
            <w:tcW w:w="1417" w:type="dxa"/>
            <w:tcBorders>
              <w:bottom w:val="single" w:sz="6" w:space="0" w:color="auto"/>
            </w:tcBorders>
            <w:shd w:val="clear" w:color="auto" w:fill="auto"/>
            <w:vAlign w:val="bottom"/>
          </w:tcPr>
          <w:p w:rsidR="00FD06F3" w:rsidRDefault="0054425B">
            <w:pPr>
              <w:pStyle w:val="Tabletext"/>
              <w:widowControl w:val="0"/>
              <w:tabs>
                <w:tab w:val="decimal" w:pos="1021"/>
              </w:tabs>
              <w:jc w:val="left"/>
              <w:rPr>
                <w:lang w:val="en-US"/>
              </w:rPr>
            </w:pPr>
            <w:r>
              <w:rPr>
                <w:lang w:val="en-US"/>
              </w:rPr>
              <w:t>–</w:t>
            </w:r>
          </w:p>
        </w:tc>
        <w:tc>
          <w:tcPr>
            <w:tcW w:w="1417" w:type="dxa"/>
            <w:tcBorders>
              <w:bottom w:val="single" w:sz="6" w:space="0" w:color="auto"/>
            </w:tcBorders>
            <w:shd w:val="clear" w:color="auto" w:fill="auto"/>
            <w:vAlign w:val="bottom"/>
          </w:tcPr>
          <w:p w:rsidR="00FD06F3" w:rsidRDefault="0054425B">
            <w:pPr>
              <w:pStyle w:val="Tabletext"/>
              <w:widowControl w:val="0"/>
              <w:tabs>
                <w:tab w:val="decimal" w:pos="1021"/>
              </w:tabs>
              <w:jc w:val="left"/>
              <w:rPr>
                <w:lang w:val="en-US"/>
              </w:rPr>
            </w:pPr>
            <w:r>
              <w:rPr>
                <w:lang w:val="en-US"/>
              </w:rPr>
              <w:t>–</w:t>
            </w:r>
          </w:p>
        </w:tc>
      </w:tr>
      <w:tr w:rsidR="00FD06F3">
        <w:trPr>
          <w:trHeight w:val="340"/>
          <w:jc w:val="center"/>
        </w:trPr>
        <w:tc>
          <w:tcPr>
            <w:tcW w:w="2554" w:type="dxa"/>
            <w:shd w:val="clear" w:color="auto" w:fill="auto"/>
            <w:vAlign w:val="bottom"/>
          </w:tcPr>
          <w:p w:rsidR="00FD06F3" w:rsidRDefault="0054425B">
            <w:pPr>
              <w:pStyle w:val="Tabletext"/>
              <w:widowControl w:val="0"/>
              <w:ind w:left="5" w:right="-108" w:hanging="113"/>
              <w:jc w:val="left"/>
              <w:rPr>
                <w:b/>
                <w:bCs/>
              </w:rPr>
            </w:pPr>
            <w:r>
              <w:rPr>
                <w:b/>
                <w:bCs/>
              </w:rPr>
              <w:t>Итого</w:t>
            </w:r>
          </w:p>
        </w:tc>
        <w:tc>
          <w:tcPr>
            <w:tcW w:w="1417" w:type="dxa"/>
            <w:tcBorders>
              <w:top w:val="single" w:sz="6" w:space="0" w:color="auto"/>
              <w:bottom w:val="single" w:sz="12" w:space="0" w:color="auto"/>
            </w:tcBorders>
            <w:shd w:val="clear" w:color="auto" w:fill="auto"/>
            <w:vAlign w:val="bottom"/>
          </w:tcPr>
          <w:p w:rsidR="00FD06F3" w:rsidRDefault="0054425B">
            <w:pPr>
              <w:pStyle w:val="Tabletext"/>
              <w:widowControl w:val="0"/>
              <w:tabs>
                <w:tab w:val="decimal" w:pos="1021"/>
              </w:tabs>
              <w:jc w:val="left"/>
              <w:rPr>
                <w:b/>
              </w:rPr>
            </w:pPr>
            <w:r>
              <w:rPr>
                <w:b/>
              </w:rPr>
              <w:t>2 800 790</w:t>
            </w:r>
          </w:p>
        </w:tc>
        <w:tc>
          <w:tcPr>
            <w:tcW w:w="1417" w:type="dxa"/>
            <w:tcBorders>
              <w:top w:val="single" w:sz="6" w:space="0" w:color="auto"/>
              <w:bottom w:val="single" w:sz="12" w:space="0" w:color="auto"/>
            </w:tcBorders>
            <w:shd w:val="clear" w:color="auto" w:fill="auto"/>
            <w:vAlign w:val="bottom"/>
          </w:tcPr>
          <w:p w:rsidR="00FD06F3" w:rsidRDefault="0054425B">
            <w:pPr>
              <w:pStyle w:val="Tabletext"/>
              <w:widowControl w:val="0"/>
              <w:tabs>
                <w:tab w:val="decimal" w:pos="1021"/>
              </w:tabs>
              <w:jc w:val="left"/>
              <w:rPr>
                <w:b/>
              </w:rPr>
            </w:pPr>
            <w:r>
              <w:rPr>
                <w:b/>
              </w:rPr>
              <w:t>2 536 693</w:t>
            </w:r>
          </w:p>
        </w:tc>
        <w:tc>
          <w:tcPr>
            <w:tcW w:w="1417" w:type="dxa"/>
            <w:tcBorders>
              <w:top w:val="single" w:sz="6" w:space="0" w:color="auto"/>
              <w:bottom w:val="single" w:sz="12" w:space="0" w:color="auto"/>
            </w:tcBorders>
            <w:shd w:val="clear" w:color="auto" w:fill="auto"/>
            <w:vAlign w:val="bottom"/>
          </w:tcPr>
          <w:p w:rsidR="00FD06F3" w:rsidRDefault="0054425B">
            <w:pPr>
              <w:pStyle w:val="Tabletext"/>
              <w:widowControl w:val="0"/>
              <w:tabs>
                <w:tab w:val="decimal" w:pos="1021"/>
              </w:tabs>
              <w:jc w:val="left"/>
              <w:rPr>
                <w:b/>
              </w:rPr>
            </w:pPr>
            <w:r>
              <w:rPr>
                <w:b/>
              </w:rPr>
              <w:t>156 414</w:t>
            </w:r>
          </w:p>
        </w:tc>
        <w:tc>
          <w:tcPr>
            <w:tcW w:w="1417" w:type="dxa"/>
            <w:tcBorders>
              <w:top w:val="single" w:sz="6" w:space="0" w:color="auto"/>
              <w:bottom w:val="single" w:sz="12" w:space="0" w:color="auto"/>
            </w:tcBorders>
            <w:shd w:val="clear" w:color="auto" w:fill="auto"/>
            <w:vAlign w:val="bottom"/>
          </w:tcPr>
          <w:p w:rsidR="00FD06F3" w:rsidRDefault="0054425B">
            <w:pPr>
              <w:pStyle w:val="Tabletext"/>
              <w:widowControl w:val="0"/>
              <w:tabs>
                <w:tab w:val="decimal" w:pos="1021"/>
              </w:tabs>
              <w:jc w:val="left"/>
              <w:rPr>
                <w:b/>
              </w:rPr>
            </w:pPr>
            <w:r>
              <w:rPr>
                <w:b/>
              </w:rPr>
              <w:t>22 132</w:t>
            </w:r>
          </w:p>
        </w:tc>
        <w:tc>
          <w:tcPr>
            <w:tcW w:w="1417" w:type="dxa"/>
            <w:tcBorders>
              <w:top w:val="single" w:sz="6" w:space="0" w:color="auto"/>
              <w:bottom w:val="single" w:sz="12" w:space="0" w:color="auto"/>
            </w:tcBorders>
            <w:shd w:val="clear" w:color="auto" w:fill="auto"/>
            <w:vAlign w:val="bottom"/>
          </w:tcPr>
          <w:p w:rsidR="00FD06F3" w:rsidRDefault="0054425B">
            <w:pPr>
              <w:pStyle w:val="Tabletext"/>
              <w:widowControl w:val="0"/>
              <w:tabs>
                <w:tab w:val="decimal" w:pos="1021"/>
              </w:tabs>
              <w:jc w:val="left"/>
              <w:rPr>
                <w:b/>
              </w:rPr>
            </w:pPr>
            <w:r>
              <w:rPr>
                <w:b/>
              </w:rPr>
              <w:t>85 551</w:t>
            </w:r>
          </w:p>
        </w:tc>
      </w:tr>
    </w:tbl>
    <w:p w:rsidR="00FD06F3" w:rsidRDefault="00FD06F3">
      <w:pPr>
        <w:widowControl w:val="0"/>
      </w:pPr>
    </w:p>
    <w:p w:rsidR="00FD06F3" w:rsidRDefault="00FD06F3">
      <w:pPr>
        <w:widowControl w:val="0"/>
      </w:pPr>
    </w:p>
    <w:tbl>
      <w:tblPr>
        <w:tblW w:w="9639" w:type="dxa"/>
        <w:jc w:val="center"/>
        <w:tblLayout w:type="fixed"/>
        <w:tblLook w:val="01E0" w:firstRow="1" w:lastRow="1" w:firstColumn="1" w:lastColumn="1" w:noHBand="0" w:noVBand="0"/>
      </w:tblPr>
      <w:tblGrid>
        <w:gridCol w:w="2554"/>
        <w:gridCol w:w="1417"/>
        <w:gridCol w:w="1417"/>
        <w:gridCol w:w="1417"/>
        <w:gridCol w:w="1417"/>
        <w:gridCol w:w="1417"/>
      </w:tblGrid>
      <w:tr w:rsidR="00FD06F3">
        <w:trPr>
          <w:trHeight w:val="23"/>
          <w:jc w:val="center"/>
        </w:trPr>
        <w:tc>
          <w:tcPr>
            <w:tcW w:w="2554" w:type="dxa"/>
            <w:vAlign w:val="bottom"/>
          </w:tcPr>
          <w:p w:rsidR="00FD06F3" w:rsidRDefault="00FD06F3">
            <w:pPr>
              <w:pStyle w:val="Level3"/>
              <w:widowControl w:val="0"/>
              <w:spacing w:after="0"/>
              <w:ind w:left="5" w:right="-108" w:hanging="113"/>
              <w:jc w:val="left"/>
              <w:outlineLvl w:val="9"/>
              <w:rPr>
                <w:sz w:val="18"/>
                <w:szCs w:val="18"/>
              </w:rPr>
            </w:pPr>
          </w:p>
        </w:tc>
        <w:tc>
          <w:tcPr>
            <w:tcW w:w="1417" w:type="dxa"/>
            <w:tcBorders>
              <w:bottom w:val="single" w:sz="6" w:space="0" w:color="auto"/>
            </w:tcBorders>
            <w:vAlign w:val="bottom"/>
          </w:tcPr>
          <w:p w:rsidR="00FD06F3" w:rsidRDefault="0054425B">
            <w:pPr>
              <w:pStyle w:val="Level3"/>
              <w:widowControl w:val="0"/>
              <w:spacing w:after="0"/>
              <w:ind w:left="-108" w:right="-108"/>
              <w:jc w:val="center"/>
              <w:rPr>
                <w:sz w:val="18"/>
                <w:szCs w:val="18"/>
              </w:rPr>
            </w:pPr>
            <w:bookmarkStart w:id="189" w:name="_Toc387743907"/>
            <w:r>
              <w:rPr>
                <w:sz w:val="18"/>
                <w:szCs w:val="18"/>
              </w:rPr>
              <w:t>Итого</w:t>
            </w:r>
            <w:bookmarkEnd w:id="189"/>
          </w:p>
        </w:tc>
        <w:tc>
          <w:tcPr>
            <w:tcW w:w="1417" w:type="dxa"/>
            <w:tcBorders>
              <w:bottom w:val="single" w:sz="6" w:space="0" w:color="auto"/>
            </w:tcBorders>
            <w:vAlign w:val="bottom"/>
          </w:tcPr>
          <w:p w:rsidR="00FD06F3" w:rsidRDefault="0054425B">
            <w:pPr>
              <w:pStyle w:val="Level3"/>
              <w:widowControl w:val="0"/>
              <w:spacing w:after="0"/>
              <w:ind w:left="-108" w:right="-108"/>
              <w:jc w:val="center"/>
              <w:rPr>
                <w:sz w:val="18"/>
                <w:szCs w:val="18"/>
              </w:rPr>
            </w:pPr>
            <w:bookmarkStart w:id="190" w:name="_Toc387743908"/>
            <w:r>
              <w:rPr>
                <w:sz w:val="18"/>
                <w:szCs w:val="18"/>
              </w:rPr>
              <w:t>Менее</w:t>
            </w:r>
            <w:bookmarkEnd w:id="190"/>
          </w:p>
          <w:p w:rsidR="00FD06F3" w:rsidRDefault="0054425B">
            <w:pPr>
              <w:pStyle w:val="Level3"/>
              <w:widowControl w:val="0"/>
              <w:spacing w:after="0"/>
              <w:ind w:left="-108" w:right="-108"/>
              <w:jc w:val="center"/>
              <w:rPr>
                <w:sz w:val="18"/>
                <w:szCs w:val="18"/>
              </w:rPr>
            </w:pPr>
            <w:bookmarkStart w:id="191" w:name="_Toc387743909"/>
            <w:r>
              <w:rPr>
                <w:sz w:val="18"/>
                <w:szCs w:val="18"/>
              </w:rPr>
              <w:t>3 месяцев</w:t>
            </w:r>
            <w:bookmarkEnd w:id="191"/>
          </w:p>
        </w:tc>
        <w:tc>
          <w:tcPr>
            <w:tcW w:w="1417" w:type="dxa"/>
            <w:tcBorders>
              <w:bottom w:val="single" w:sz="6" w:space="0" w:color="auto"/>
            </w:tcBorders>
            <w:vAlign w:val="bottom"/>
          </w:tcPr>
          <w:p w:rsidR="00FD06F3" w:rsidRDefault="0054425B">
            <w:pPr>
              <w:pStyle w:val="Level3"/>
              <w:widowControl w:val="0"/>
              <w:spacing w:after="0"/>
              <w:ind w:left="-108" w:right="-108"/>
              <w:jc w:val="center"/>
              <w:rPr>
                <w:sz w:val="18"/>
                <w:szCs w:val="18"/>
              </w:rPr>
            </w:pPr>
            <w:bookmarkStart w:id="192" w:name="_Toc387743910"/>
            <w:r>
              <w:rPr>
                <w:sz w:val="18"/>
                <w:szCs w:val="18"/>
              </w:rPr>
              <w:t>От 3 до</w:t>
            </w:r>
            <w:bookmarkEnd w:id="192"/>
          </w:p>
          <w:p w:rsidR="00FD06F3" w:rsidRDefault="0054425B">
            <w:pPr>
              <w:pStyle w:val="Level3"/>
              <w:widowControl w:val="0"/>
              <w:spacing w:after="0"/>
              <w:ind w:left="-108" w:right="-108"/>
              <w:jc w:val="center"/>
              <w:rPr>
                <w:sz w:val="18"/>
                <w:szCs w:val="18"/>
              </w:rPr>
            </w:pPr>
            <w:bookmarkStart w:id="193" w:name="_Toc387743911"/>
            <w:r>
              <w:rPr>
                <w:sz w:val="18"/>
                <w:szCs w:val="18"/>
              </w:rPr>
              <w:t>6 месяцев</w:t>
            </w:r>
            <w:bookmarkEnd w:id="193"/>
          </w:p>
        </w:tc>
        <w:tc>
          <w:tcPr>
            <w:tcW w:w="1417" w:type="dxa"/>
            <w:tcBorders>
              <w:bottom w:val="single" w:sz="6" w:space="0" w:color="auto"/>
            </w:tcBorders>
            <w:vAlign w:val="bottom"/>
          </w:tcPr>
          <w:p w:rsidR="00FD06F3" w:rsidRDefault="0054425B">
            <w:pPr>
              <w:pStyle w:val="Level3"/>
              <w:widowControl w:val="0"/>
              <w:spacing w:after="0"/>
              <w:ind w:left="-108" w:right="-108"/>
              <w:jc w:val="center"/>
              <w:rPr>
                <w:sz w:val="18"/>
                <w:szCs w:val="18"/>
              </w:rPr>
            </w:pPr>
            <w:bookmarkStart w:id="194" w:name="_Toc387743912"/>
            <w:r>
              <w:rPr>
                <w:sz w:val="18"/>
                <w:szCs w:val="18"/>
              </w:rPr>
              <w:t>От 6 до</w:t>
            </w:r>
            <w:bookmarkEnd w:id="194"/>
          </w:p>
          <w:p w:rsidR="00FD06F3" w:rsidRDefault="0054425B">
            <w:pPr>
              <w:pStyle w:val="Level3"/>
              <w:widowControl w:val="0"/>
              <w:spacing w:after="0"/>
              <w:ind w:left="-108" w:right="-108"/>
              <w:jc w:val="center"/>
              <w:rPr>
                <w:sz w:val="18"/>
                <w:szCs w:val="18"/>
              </w:rPr>
            </w:pPr>
            <w:bookmarkStart w:id="195" w:name="_Toc387743913"/>
            <w:r>
              <w:rPr>
                <w:sz w:val="18"/>
                <w:szCs w:val="18"/>
              </w:rPr>
              <w:t>12 месяцев</w:t>
            </w:r>
            <w:bookmarkEnd w:id="195"/>
          </w:p>
        </w:tc>
        <w:tc>
          <w:tcPr>
            <w:tcW w:w="1417" w:type="dxa"/>
            <w:tcBorders>
              <w:bottom w:val="single" w:sz="6" w:space="0" w:color="auto"/>
            </w:tcBorders>
            <w:vAlign w:val="bottom"/>
          </w:tcPr>
          <w:p w:rsidR="00FD06F3" w:rsidRDefault="0054425B">
            <w:pPr>
              <w:pStyle w:val="Level3"/>
              <w:widowControl w:val="0"/>
              <w:spacing w:after="0"/>
              <w:ind w:left="-108" w:right="-108"/>
              <w:jc w:val="center"/>
              <w:rPr>
                <w:sz w:val="18"/>
                <w:szCs w:val="18"/>
              </w:rPr>
            </w:pPr>
            <w:bookmarkStart w:id="196" w:name="_Toc387743914"/>
            <w:r>
              <w:rPr>
                <w:sz w:val="18"/>
                <w:szCs w:val="18"/>
              </w:rPr>
              <w:t xml:space="preserve">От 1 года </w:t>
            </w:r>
            <w:r>
              <w:rPr>
                <w:sz w:val="18"/>
                <w:szCs w:val="18"/>
              </w:rPr>
              <w:br/>
              <w:t>до 5 лет</w:t>
            </w:r>
            <w:bookmarkEnd w:id="196"/>
          </w:p>
        </w:tc>
      </w:tr>
      <w:tr w:rsidR="00FD06F3">
        <w:trPr>
          <w:trHeight w:val="23"/>
          <w:jc w:val="center"/>
        </w:trPr>
        <w:tc>
          <w:tcPr>
            <w:tcW w:w="2554" w:type="dxa"/>
            <w:vAlign w:val="bottom"/>
          </w:tcPr>
          <w:p w:rsidR="00FD06F3" w:rsidRDefault="0054425B">
            <w:pPr>
              <w:pStyle w:val="Level3"/>
              <w:widowControl w:val="0"/>
              <w:spacing w:after="0"/>
              <w:ind w:left="5" w:right="-108" w:hanging="113"/>
              <w:jc w:val="left"/>
              <w:outlineLvl w:val="9"/>
              <w:rPr>
                <w:sz w:val="18"/>
                <w:szCs w:val="18"/>
              </w:rPr>
            </w:pPr>
            <w:bookmarkStart w:id="197" w:name="_Toc387743915"/>
            <w:r>
              <w:rPr>
                <w:sz w:val="18"/>
                <w:szCs w:val="18"/>
              </w:rPr>
              <w:t>На 31 декабря 2016 г.</w:t>
            </w:r>
            <w:bookmarkEnd w:id="197"/>
          </w:p>
        </w:tc>
        <w:tc>
          <w:tcPr>
            <w:tcW w:w="1417" w:type="dxa"/>
            <w:tcBorders>
              <w:top w:val="single" w:sz="6" w:space="0" w:color="auto"/>
            </w:tcBorders>
            <w:vAlign w:val="bottom"/>
          </w:tcPr>
          <w:p w:rsidR="00FD06F3" w:rsidRDefault="00FD06F3">
            <w:pPr>
              <w:pStyle w:val="Level3"/>
              <w:widowControl w:val="0"/>
              <w:tabs>
                <w:tab w:val="decimal" w:pos="1021"/>
              </w:tabs>
              <w:spacing w:after="0"/>
              <w:jc w:val="left"/>
              <w:outlineLvl w:val="9"/>
              <w:rPr>
                <w:sz w:val="18"/>
                <w:szCs w:val="18"/>
              </w:rPr>
            </w:pPr>
          </w:p>
        </w:tc>
        <w:tc>
          <w:tcPr>
            <w:tcW w:w="1417" w:type="dxa"/>
            <w:tcBorders>
              <w:top w:val="single" w:sz="6" w:space="0" w:color="auto"/>
            </w:tcBorders>
            <w:vAlign w:val="bottom"/>
          </w:tcPr>
          <w:p w:rsidR="00FD06F3" w:rsidRDefault="00FD06F3">
            <w:pPr>
              <w:pStyle w:val="Level3"/>
              <w:widowControl w:val="0"/>
              <w:tabs>
                <w:tab w:val="decimal" w:pos="1021"/>
              </w:tabs>
              <w:spacing w:after="0"/>
              <w:jc w:val="left"/>
              <w:outlineLvl w:val="9"/>
              <w:rPr>
                <w:sz w:val="18"/>
                <w:szCs w:val="18"/>
              </w:rPr>
            </w:pPr>
          </w:p>
        </w:tc>
        <w:tc>
          <w:tcPr>
            <w:tcW w:w="1417" w:type="dxa"/>
            <w:tcBorders>
              <w:top w:val="single" w:sz="6" w:space="0" w:color="auto"/>
            </w:tcBorders>
            <w:vAlign w:val="bottom"/>
          </w:tcPr>
          <w:p w:rsidR="00FD06F3" w:rsidRDefault="00FD06F3">
            <w:pPr>
              <w:pStyle w:val="Level3"/>
              <w:widowControl w:val="0"/>
              <w:tabs>
                <w:tab w:val="decimal" w:pos="1021"/>
              </w:tabs>
              <w:spacing w:after="0"/>
              <w:jc w:val="left"/>
              <w:outlineLvl w:val="9"/>
              <w:rPr>
                <w:sz w:val="18"/>
                <w:szCs w:val="18"/>
              </w:rPr>
            </w:pPr>
          </w:p>
        </w:tc>
        <w:tc>
          <w:tcPr>
            <w:tcW w:w="1417" w:type="dxa"/>
            <w:tcBorders>
              <w:top w:val="single" w:sz="6" w:space="0" w:color="auto"/>
            </w:tcBorders>
            <w:vAlign w:val="bottom"/>
          </w:tcPr>
          <w:p w:rsidR="00FD06F3" w:rsidRDefault="00FD06F3">
            <w:pPr>
              <w:pStyle w:val="Level3"/>
              <w:widowControl w:val="0"/>
              <w:tabs>
                <w:tab w:val="decimal" w:pos="1021"/>
              </w:tabs>
              <w:spacing w:after="0"/>
              <w:jc w:val="left"/>
              <w:outlineLvl w:val="9"/>
              <w:rPr>
                <w:sz w:val="18"/>
                <w:szCs w:val="18"/>
              </w:rPr>
            </w:pPr>
          </w:p>
        </w:tc>
        <w:tc>
          <w:tcPr>
            <w:tcW w:w="1417" w:type="dxa"/>
            <w:tcBorders>
              <w:top w:val="single" w:sz="6" w:space="0" w:color="auto"/>
            </w:tcBorders>
            <w:vAlign w:val="bottom"/>
          </w:tcPr>
          <w:p w:rsidR="00FD06F3" w:rsidRDefault="00FD06F3">
            <w:pPr>
              <w:pStyle w:val="Level3"/>
              <w:widowControl w:val="0"/>
              <w:tabs>
                <w:tab w:val="decimal" w:pos="1021"/>
              </w:tabs>
              <w:spacing w:after="0"/>
              <w:jc w:val="left"/>
              <w:outlineLvl w:val="9"/>
              <w:rPr>
                <w:sz w:val="18"/>
                <w:szCs w:val="18"/>
              </w:rPr>
            </w:pPr>
          </w:p>
        </w:tc>
      </w:tr>
      <w:tr w:rsidR="00FD06F3">
        <w:trPr>
          <w:trHeight w:val="23"/>
          <w:jc w:val="center"/>
        </w:trPr>
        <w:tc>
          <w:tcPr>
            <w:tcW w:w="2554" w:type="dxa"/>
            <w:vAlign w:val="bottom"/>
          </w:tcPr>
          <w:p w:rsidR="00FD06F3" w:rsidRDefault="0054425B">
            <w:pPr>
              <w:pStyle w:val="Tabletext"/>
              <w:widowControl w:val="0"/>
              <w:ind w:left="5" w:right="-108" w:hanging="113"/>
              <w:jc w:val="left"/>
            </w:pPr>
            <w:r>
              <w:t xml:space="preserve">Кредиты и займы </w:t>
            </w:r>
          </w:p>
        </w:tc>
        <w:tc>
          <w:tcPr>
            <w:tcW w:w="1417" w:type="dxa"/>
            <w:vAlign w:val="bottom"/>
          </w:tcPr>
          <w:p w:rsidR="00FD06F3" w:rsidRDefault="0054425B">
            <w:pPr>
              <w:pStyle w:val="Tabletext"/>
              <w:widowControl w:val="0"/>
              <w:tabs>
                <w:tab w:val="decimal" w:pos="1021"/>
              </w:tabs>
              <w:jc w:val="left"/>
              <w:rPr>
                <w:b/>
              </w:rPr>
            </w:pPr>
            <w:r>
              <w:rPr>
                <w:b/>
              </w:rPr>
              <w:t>148 989</w:t>
            </w:r>
          </w:p>
        </w:tc>
        <w:tc>
          <w:tcPr>
            <w:tcW w:w="1417" w:type="dxa"/>
            <w:vAlign w:val="bottom"/>
          </w:tcPr>
          <w:p w:rsidR="00FD06F3" w:rsidRDefault="0054425B">
            <w:pPr>
              <w:pStyle w:val="Tabletext"/>
              <w:widowControl w:val="0"/>
              <w:tabs>
                <w:tab w:val="decimal" w:pos="1021"/>
              </w:tabs>
              <w:jc w:val="left"/>
            </w:pPr>
            <w:r>
              <w:t>2 998</w:t>
            </w:r>
          </w:p>
        </w:tc>
        <w:tc>
          <w:tcPr>
            <w:tcW w:w="1417" w:type="dxa"/>
            <w:vAlign w:val="bottom"/>
          </w:tcPr>
          <w:p w:rsidR="00FD06F3" w:rsidRDefault="0054425B">
            <w:pPr>
              <w:pStyle w:val="Tabletext"/>
              <w:widowControl w:val="0"/>
              <w:tabs>
                <w:tab w:val="decimal" w:pos="1021"/>
              </w:tabs>
              <w:jc w:val="left"/>
            </w:pPr>
            <w:r>
              <w:t>2 998</w:t>
            </w:r>
          </w:p>
        </w:tc>
        <w:tc>
          <w:tcPr>
            <w:tcW w:w="1417" w:type="dxa"/>
            <w:vAlign w:val="bottom"/>
          </w:tcPr>
          <w:p w:rsidR="00FD06F3" w:rsidRDefault="0054425B">
            <w:pPr>
              <w:pStyle w:val="Tabletext"/>
              <w:widowControl w:val="0"/>
              <w:tabs>
                <w:tab w:val="decimal" w:pos="1021"/>
              </w:tabs>
              <w:jc w:val="left"/>
            </w:pPr>
            <w:r>
              <w:t>5 995</w:t>
            </w:r>
          </w:p>
        </w:tc>
        <w:tc>
          <w:tcPr>
            <w:tcW w:w="1417" w:type="dxa"/>
            <w:vAlign w:val="bottom"/>
          </w:tcPr>
          <w:p w:rsidR="00FD06F3" w:rsidRDefault="0054425B">
            <w:pPr>
              <w:pStyle w:val="Tabletext"/>
              <w:widowControl w:val="0"/>
              <w:tabs>
                <w:tab w:val="decimal" w:pos="1021"/>
              </w:tabs>
              <w:jc w:val="left"/>
            </w:pPr>
            <w:r>
              <w:t>136 998</w:t>
            </w:r>
          </w:p>
        </w:tc>
      </w:tr>
      <w:tr w:rsidR="00FD06F3">
        <w:trPr>
          <w:trHeight w:val="23"/>
          <w:jc w:val="center"/>
        </w:trPr>
        <w:tc>
          <w:tcPr>
            <w:tcW w:w="2554" w:type="dxa"/>
            <w:vAlign w:val="bottom"/>
          </w:tcPr>
          <w:p w:rsidR="00FD06F3" w:rsidRDefault="0054425B">
            <w:pPr>
              <w:pStyle w:val="Tabletext"/>
              <w:widowControl w:val="0"/>
              <w:ind w:left="5" w:right="-108" w:hanging="113"/>
              <w:jc w:val="left"/>
            </w:pPr>
            <w:r>
              <w:t>Кредиты и займы, полученные от связанных сторон</w:t>
            </w:r>
          </w:p>
        </w:tc>
        <w:tc>
          <w:tcPr>
            <w:tcW w:w="1417" w:type="dxa"/>
            <w:vAlign w:val="bottom"/>
          </w:tcPr>
          <w:p w:rsidR="00FD06F3" w:rsidRDefault="0054425B">
            <w:pPr>
              <w:pStyle w:val="Tabletext"/>
              <w:widowControl w:val="0"/>
              <w:tabs>
                <w:tab w:val="decimal" w:pos="1021"/>
              </w:tabs>
              <w:jc w:val="left"/>
              <w:rPr>
                <w:b/>
              </w:rPr>
            </w:pPr>
            <w:r>
              <w:rPr>
                <w:b/>
              </w:rPr>
              <w:t>1 019 783</w:t>
            </w:r>
          </w:p>
        </w:tc>
        <w:tc>
          <w:tcPr>
            <w:tcW w:w="1417" w:type="dxa"/>
            <w:vAlign w:val="bottom"/>
          </w:tcPr>
          <w:p w:rsidR="00FD06F3" w:rsidRDefault="0054425B">
            <w:pPr>
              <w:pStyle w:val="Tabletext"/>
              <w:widowControl w:val="0"/>
              <w:tabs>
                <w:tab w:val="decimal" w:pos="1021"/>
              </w:tabs>
              <w:jc w:val="left"/>
            </w:pPr>
            <w:r>
              <w:t>27 395</w:t>
            </w:r>
          </w:p>
        </w:tc>
        <w:tc>
          <w:tcPr>
            <w:tcW w:w="1417" w:type="dxa"/>
            <w:vAlign w:val="bottom"/>
          </w:tcPr>
          <w:p w:rsidR="00FD06F3" w:rsidRDefault="0054425B">
            <w:pPr>
              <w:pStyle w:val="Tabletext"/>
              <w:widowControl w:val="0"/>
              <w:tabs>
                <w:tab w:val="decimal" w:pos="1021"/>
              </w:tabs>
              <w:jc w:val="left"/>
            </w:pPr>
            <w:r>
              <w:t>47 188</w:t>
            </w:r>
          </w:p>
        </w:tc>
        <w:tc>
          <w:tcPr>
            <w:tcW w:w="1417" w:type="dxa"/>
            <w:vAlign w:val="bottom"/>
          </w:tcPr>
          <w:p w:rsidR="00FD06F3" w:rsidRDefault="0054425B">
            <w:pPr>
              <w:pStyle w:val="Tabletext"/>
              <w:widowControl w:val="0"/>
              <w:tabs>
                <w:tab w:val="decimal" w:pos="1021"/>
              </w:tabs>
              <w:jc w:val="left"/>
            </w:pPr>
            <w:r>
              <w:t>53 825</w:t>
            </w:r>
          </w:p>
        </w:tc>
        <w:tc>
          <w:tcPr>
            <w:tcW w:w="1417" w:type="dxa"/>
            <w:vAlign w:val="bottom"/>
          </w:tcPr>
          <w:p w:rsidR="00FD06F3" w:rsidRDefault="0054425B">
            <w:pPr>
              <w:pStyle w:val="Tabletext"/>
              <w:widowControl w:val="0"/>
              <w:tabs>
                <w:tab w:val="decimal" w:pos="1021"/>
              </w:tabs>
              <w:jc w:val="left"/>
            </w:pPr>
            <w:r>
              <w:t>891 375</w:t>
            </w:r>
          </w:p>
        </w:tc>
      </w:tr>
      <w:tr w:rsidR="00FD06F3">
        <w:trPr>
          <w:trHeight w:val="23"/>
          <w:jc w:val="center"/>
        </w:trPr>
        <w:tc>
          <w:tcPr>
            <w:tcW w:w="2554" w:type="dxa"/>
            <w:vAlign w:val="bottom"/>
          </w:tcPr>
          <w:p w:rsidR="00FD06F3" w:rsidRDefault="0054425B">
            <w:pPr>
              <w:pStyle w:val="Tabletext"/>
              <w:widowControl w:val="0"/>
              <w:ind w:left="5" w:right="-108" w:hanging="113"/>
              <w:jc w:val="left"/>
            </w:pPr>
            <w:r>
              <w:t xml:space="preserve">Кредиторская </w:t>
            </w:r>
            <w:r>
              <w:t>задолженность</w:t>
            </w:r>
          </w:p>
        </w:tc>
        <w:tc>
          <w:tcPr>
            <w:tcW w:w="1417" w:type="dxa"/>
            <w:tcBorders>
              <w:bottom w:val="single" w:sz="6" w:space="0" w:color="auto"/>
            </w:tcBorders>
            <w:vAlign w:val="bottom"/>
          </w:tcPr>
          <w:p w:rsidR="00FD06F3" w:rsidRDefault="0054425B">
            <w:pPr>
              <w:pStyle w:val="Tabletext"/>
              <w:widowControl w:val="0"/>
              <w:tabs>
                <w:tab w:val="decimal" w:pos="1021"/>
              </w:tabs>
              <w:jc w:val="left"/>
              <w:rPr>
                <w:b/>
              </w:rPr>
            </w:pPr>
            <w:r>
              <w:rPr>
                <w:b/>
                <w:sz w:val="17"/>
                <w:szCs w:val="17"/>
              </w:rPr>
              <w:t>3 464 203</w:t>
            </w:r>
          </w:p>
        </w:tc>
        <w:tc>
          <w:tcPr>
            <w:tcW w:w="1417" w:type="dxa"/>
            <w:tcBorders>
              <w:bottom w:val="single" w:sz="6" w:space="0" w:color="auto"/>
            </w:tcBorders>
            <w:vAlign w:val="bottom"/>
          </w:tcPr>
          <w:p w:rsidR="00FD06F3" w:rsidRDefault="0054425B">
            <w:pPr>
              <w:pStyle w:val="Tabletext"/>
              <w:widowControl w:val="0"/>
              <w:tabs>
                <w:tab w:val="decimal" w:pos="1021"/>
              </w:tabs>
              <w:jc w:val="left"/>
              <w:rPr>
                <w:lang w:val="en-US"/>
              </w:rPr>
            </w:pPr>
            <w:r>
              <w:rPr>
                <w:lang w:val="en-US"/>
              </w:rPr>
              <w:t>3 464 203</w:t>
            </w:r>
          </w:p>
        </w:tc>
        <w:tc>
          <w:tcPr>
            <w:tcW w:w="1417" w:type="dxa"/>
            <w:tcBorders>
              <w:bottom w:val="single" w:sz="6" w:space="0" w:color="auto"/>
            </w:tcBorders>
            <w:vAlign w:val="bottom"/>
          </w:tcPr>
          <w:p w:rsidR="00FD06F3" w:rsidRDefault="0054425B">
            <w:pPr>
              <w:pStyle w:val="Tabletext"/>
              <w:widowControl w:val="0"/>
              <w:tabs>
                <w:tab w:val="decimal" w:pos="1021"/>
              </w:tabs>
              <w:jc w:val="left"/>
              <w:rPr>
                <w:lang w:val="en-US"/>
              </w:rPr>
            </w:pPr>
            <w:r>
              <w:rPr>
                <w:lang w:val="en-US"/>
              </w:rPr>
              <w:t>–</w:t>
            </w:r>
          </w:p>
        </w:tc>
        <w:tc>
          <w:tcPr>
            <w:tcW w:w="1417" w:type="dxa"/>
            <w:tcBorders>
              <w:bottom w:val="single" w:sz="6" w:space="0" w:color="auto"/>
            </w:tcBorders>
            <w:vAlign w:val="bottom"/>
          </w:tcPr>
          <w:p w:rsidR="00FD06F3" w:rsidRDefault="0054425B">
            <w:pPr>
              <w:pStyle w:val="Tabletext"/>
              <w:widowControl w:val="0"/>
              <w:tabs>
                <w:tab w:val="decimal" w:pos="1021"/>
              </w:tabs>
              <w:jc w:val="left"/>
              <w:rPr>
                <w:lang w:val="en-US"/>
              </w:rPr>
            </w:pPr>
            <w:r>
              <w:rPr>
                <w:lang w:val="en-US"/>
              </w:rPr>
              <w:t>–</w:t>
            </w:r>
          </w:p>
        </w:tc>
        <w:tc>
          <w:tcPr>
            <w:tcW w:w="1417" w:type="dxa"/>
            <w:tcBorders>
              <w:bottom w:val="single" w:sz="6" w:space="0" w:color="auto"/>
            </w:tcBorders>
            <w:vAlign w:val="bottom"/>
          </w:tcPr>
          <w:p w:rsidR="00FD06F3" w:rsidRDefault="0054425B">
            <w:pPr>
              <w:pStyle w:val="Tabletext"/>
              <w:widowControl w:val="0"/>
              <w:tabs>
                <w:tab w:val="decimal" w:pos="1021"/>
              </w:tabs>
              <w:jc w:val="left"/>
              <w:rPr>
                <w:lang w:val="en-US"/>
              </w:rPr>
            </w:pPr>
            <w:r>
              <w:rPr>
                <w:lang w:val="en-US"/>
              </w:rPr>
              <w:t>–</w:t>
            </w:r>
          </w:p>
        </w:tc>
      </w:tr>
      <w:tr w:rsidR="00FD06F3">
        <w:trPr>
          <w:trHeight w:val="340"/>
          <w:jc w:val="center"/>
        </w:trPr>
        <w:tc>
          <w:tcPr>
            <w:tcW w:w="2554" w:type="dxa"/>
            <w:vAlign w:val="bottom"/>
          </w:tcPr>
          <w:p w:rsidR="00FD06F3" w:rsidRDefault="0054425B">
            <w:pPr>
              <w:pStyle w:val="Tabletext"/>
              <w:widowControl w:val="0"/>
              <w:ind w:left="5" w:right="-108" w:hanging="113"/>
              <w:jc w:val="left"/>
              <w:rPr>
                <w:b/>
                <w:bCs/>
              </w:rPr>
            </w:pPr>
            <w:r>
              <w:rPr>
                <w:b/>
                <w:bCs/>
              </w:rPr>
              <w:t>Итого</w:t>
            </w:r>
          </w:p>
        </w:tc>
        <w:tc>
          <w:tcPr>
            <w:tcW w:w="1417" w:type="dxa"/>
            <w:tcBorders>
              <w:top w:val="single" w:sz="6" w:space="0" w:color="auto"/>
              <w:bottom w:val="single" w:sz="12" w:space="0" w:color="auto"/>
            </w:tcBorders>
            <w:vAlign w:val="bottom"/>
          </w:tcPr>
          <w:p w:rsidR="00FD06F3" w:rsidRDefault="0054425B">
            <w:pPr>
              <w:pStyle w:val="Tabletext"/>
              <w:widowControl w:val="0"/>
              <w:tabs>
                <w:tab w:val="decimal" w:pos="1021"/>
              </w:tabs>
              <w:jc w:val="left"/>
              <w:rPr>
                <w:b/>
              </w:rPr>
            </w:pPr>
            <w:r>
              <w:rPr>
                <w:b/>
              </w:rPr>
              <w:t>4 632 975</w:t>
            </w:r>
          </w:p>
        </w:tc>
        <w:tc>
          <w:tcPr>
            <w:tcW w:w="1417" w:type="dxa"/>
            <w:tcBorders>
              <w:top w:val="single" w:sz="6" w:space="0" w:color="auto"/>
              <w:bottom w:val="single" w:sz="12" w:space="0" w:color="auto"/>
            </w:tcBorders>
            <w:vAlign w:val="bottom"/>
          </w:tcPr>
          <w:p w:rsidR="00FD06F3" w:rsidRDefault="0054425B">
            <w:pPr>
              <w:pStyle w:val="Tabletext"/>
              <w:widowControl w:val="0"/>
              <w:tabs>
                <w:tab w:val="decimal" w:pos="1021"/>
              </w:tabs>
              <w:jc w:val="left"/>
              <w:rPr>
                <w:b/>
              </w:rPr>
            </w:pPr>
            <w:r>
              <w:rPr>
                <w:b/>
              </w:rPr>
              <w:t>30 393</w:t>
            </w:r>
          </w:p>
        </w:tc>
        <w:tc>
          <w:tcPr>
            <w:tcW w:w="1417" w:type="dxa"/>
            <w:tcBorders>
              <w:top w:val="single" w:sz="6" w:space="0" w:color="auto"/>
              <w:bottom w:val="single" w:sz="12" w:space="0" w:color="auto"/>
            </w:tcBorders>
            <w:vAlign w:val="bottom"/>
          </w:tcPr>
          <w:p w:rsidR="00FD06F3" w:rsidRDefault="0054425B">
            <w:pPr>
              <w:pStyle w:val="Tabletext"/>
              <w:widowControl w:val="0"/>
              <w:tabs>
                <w:tab w:val="decimal" w:pos="1021"/>
              </w:tabs>
              <w:jc w:val="left"/>
              <w:rPr>
                <w:b/>
              </w:rPr>
            </w:pPr>
            <w:r>
              <w:rPr>
                <w:b/>
              </w:rPr>
              <w:t>50 186</w:t>
            </w:r>
          </w:p>
        </w:tc>
        <w:tc>
          <w:tcPr>
            <w:tcW w:w="1417" w:type="dxa"/>
            <w:tcBorders>
              <w:top w:val="single" w:sz="6" w:space="0" w:color="auto"/>
              <w:bottom w:val="single" w:sz="12" w:space="0" w:color="auto"/>
            </w:tcBorders>
            <w:vAlign w:val="bottom"/>
          </w:tcPr>
          <w:p w:rsidR="00FD06F3" w:rsidRDefault="0054425B">
            <w:pPr>
              <w:pStyle w:val="Tabletext"/>
              <w:widowControl w:val="0"/>
              <w:tabs>
                <w:tab w:val="decimal" w:pos="1021"/>
              </w:tabs>
              <w:jc w:val="left"/>
              <w:rPr>
                <w:b/>
              </w:rPr>
            </w:pPr>
            <w:r>
              <w:rPr>
                <w:b/>
              </w:rPr>
              <w:t>59 820</w:t>
            </w:r>
          </w:p>
        </w:tc>
        <w:tc>
          <w:tcPr>
            <w:tcW w:w="1417" w:type="dxa"/>
            <w:tcBorders>
              <w:top w:val="single" w:sz="6" w:space="0" w:color="auto"/>
              <w:bottom w:val="single" w:sz="12" w:space="0" w:color="auto"/>
            </w:tcBorders>
            <w:vAlign w:val="bottom"/>
          </w:tcPr>
          <w:p w:rsidR="00FD06F3" w:rsidRDefault="0054425B">
            <w:pPr>
              <w:pStyle w:val="Tabletext"/>
              <w:widowControl w:val="0"/>
              <w:tabs>
                <w:tab w:val="decimal" w:pos="1021"/>
              </w:tabs>
              <w:jc w:val="left"/>
              <w:rPr>
                <w:b/>
              </w:rPr>
            </w:pPr>
            <w:r>
              <w:rPr>
                <w:b/>
              </w:rPr>
              <w:t>1 028 373</w:t>
            </w:r>
          </w:p>
        </w:tc>
      </w:tr>
    </w:tbl>
    <w:p w:rsidR="00FD06F3" w:rsidRDefault="00FD06F3">
      <w:pPr>
        <w:pStyle w:val="13"/>
      </w:pPr>
    </w:p>
    <w:p w:rsidR="00FD06F3" w:rsidRDefault="0054425B">
      <w:pPr>
        <w:widowControl w:val="0"/>
        <w:rPr>
          <w:b/>
          <w:iCs/>
        </w:rPr>
      </w:pPr>
      <w:r>
        <w:rPr>
          <w:b/>
          <w:iCs/>
        </w:rPr>
        <w:t>Кредитный риск</w:t>
      </w:r>
    </w:p>
    <w:p w:rsidR="00FD06F3" w:rsidRDefault="00FD06F3">
      <w:pPr>
        <w:widowControl w:val="0"/>
      </w:pPr>
    </w:p>
    <w:p w:rsidR="00FD06F3" w:rsidRDefault="0054425B">
      <w:pPr>
        <w:widowControl w:val="0"/>
      </w:pPr>
      <w:r>
        <w:t xml:space="preserve">Финансовые активы, по которым у Группы возникает потенциальный кредитный риск, представлены в основном торговой дебиторской задолженностью и займами, </w:t>
      </w:r>
      <w:r>
        <w:t>выданными связанным сторонам. Готовая продукция и товары Группы реализуются большей частью связанной стороне, выступающей в качестве единого торгового дома для всех кондитерских компаний, подконтрольных Группе «Гута». Таким образом, реальный кредитный риск</w:t>
      </w:r>
      <w:r>
        <w:t xml:space="preserve"> возникает у этой связанной стороны. На 31 декабря 2017 и 2016 гг. резерв под сомнительную дебиторскую задолженность связанной стороны не создавался. Возвратность займов связанным сторонам обеспечена свободными денежными потоками основного акционера, а так</w:t>
      </w:r>
      <w:r>
        <w:t>же возможностью их зачета против будущих дивидендов.</w:t>
      </w:r>
    </w:p>
    <w:p w:rsidR="00FD06F3" w:rsidRDefault="00FD06F3">
      <w:pPr>
        <w:widowControl w:val="0"/>
      </w:pPr>
    </w:p>
    <w:p w:rsidR="00FD06F3" w:rsidRDefault="0054425B">
      <w:pPr>
        <w:widowControl w:val="0"/>
      </w:pPr>
      <w:r>
        <w:t>Денежные средства размещаются, в основном, в банке, который является связанной стороной (Прим. 18.6).</w:t>
      </w:r>
    </w:p>
    <w:p w:rsidR="00FD06F3" w:rsidRDefault="00FD06F3">
      <w:pPr>
        <w:widowControl w:val="0"/>
      </w:pPr>
    </w:p>
    <w:p w:rsidR="00FD06F3" w:rsidRDefault="0054425B">
      <w:pPr>
        <w:widowControl w:val="0"/>
        <w:rPr>
          <w:b/>
          <w:iCs/>
        </w:rPr>
      </w:pPr>
      <w:r>
        <w:rPr>
          <w:b/>
          <w:iCs/>
        </w:rPr>
        <w:t>Управление риском, связанным с капиталом</w:t>
      </w:r>
    </w:p>
    <w:p w:rsidR="00FD06F3" w:rsidRDefault="00FD06F3">
      <w:pPr>
        <w:widowControl w:val="0"/>
      </w:pPr>
    </w:p>
    <w:p w:rsidR="00FD06F3" w:rsidRDefault="0054425B">
      <w:pPr>
        <w:widowControl w:val="0"/>
      </w:pPr>
      <w:r>
        <w:t>При управлении капиталом Группа преследует цель сохранить</w:t>
      </w:r>
      <w:r>
        <w:t xml:space="preserve"> свою способность продолжать работу в качестве непрерывно функционирующего предприятия с тем, чтобы обеспечивать прибыль акционерам и поддерживать оптимальную структуру капитала для снижения стоимости капитала. Группа управляет структурой своего капитала и</w:t>
      </w:r>
      <w:r>
        <w:t xml:space="preserve"> корректирует ее с учетом изменений экономических условий. Группа может сохранять или корректировать структуру капитала путем корректировки суммы дивидендов, выплачиваемой акционерам, возврата капитала акционерам, выпуска новых акций или продажи активов в </w:t>
      </w:r>
      <w:r>
        <w:t>целях снижения уровня задолженности.</w:t>
      </w:r>
    </w:p>
    <w:p w:rsidR="00FD06F3" w:rsidRDefault="0054425B">
      <w:pPr>
        <w:jc w:val="left"/>
        <w:rPr>
          <w:i/>
          <w:iCs/>
        </w:rPr>
      </w:pPr>
      <w:r>
        <w:rPr>
          <w:i/>
          <w:iCs/>
        </w:rPr>
        <w:br w:type="page"/>
      </w:r>
    </w:p>
    <w:p w:rsidR="00FD06F3" w:rsidRDefault="0054425B">
      <w:pPr>
        <w:pStyle w:val="13"/>
      </w:pPr>
      <w:r>
        <w:lastRenderedPageBreak/>
        <w:t>21.</w:t>
      </w:r>
      <w:r>
        <w:tab/>
        <w:t>Финансовые инструменты и задачи и принципы управления финансовыми рисками (</w:t>
      </w:r>
      <w:r>
        <w:rPr>
          <w:caps w:val="0"/>
        </w:rPr>
        <w:t>продолжение</w:t>
      </w:r>
      <w:r>
        <w:t>)</w:t>
      </w:r>
    </w:p>
    <w:p w:rsidR="00FD06F3" w:rsidRDefault="00FD06F3">
      <w:pPr>
        <w:widowControl w:val="0"/>
        <w:rPr>
          <w:i/>
          <w:iCs/>
        </w:rPr>
      </w:pPr>
    </w:p>
    <w:p w:rsidR="00FD06F3" w:rsidRDefault="0054425B">
      <w:pPr>
        <w:widowControl w:val="0"/>
        <w:rPr>
          <w:b/>
          <w:iCs/>
        </w:rPr>
      </w:pPr>
      <w:r>
        <w:rPr>
          <w:b/>
          <w:iCs/>
        </w:rPr>
        <w:t>Управление риском, связанным с капиталом (продолжение)</w:t>
      </w:r>
    </w:p>
    <w:p w:rsidR="00FD06F3" w:rsidRDefault="00FD06F3">
      <w:pPr>
        <w:widowControl w:val="0"/>
        <w:rPr>
          <w:i/>
          <w:iCs/>
        </w:rPr>
      </w:pPr>
    </w:p>
    <w:p w:rsidR="00FD06F3" w:rsidRDefault="0054425B">
      <w:pPr>
        <w:widowControl w:val="0"/>
      </w:pPr>
      <w:r>
        <w:t>Группа осуществляет мониторинг капитала с использованием соотношения</w:t>
      </w:r>
      <w:r>
        <w:t xml:space="preserve"> собственных и заемных средств, которое представляет собой отношение чистой задолженности к сумме совокупного капитала и чистой задолженности. Политика Группы предусматривает удержание данного коэффициента на уровне не выше 60%. В состав чистой задолженнос</w:t>
      </w:r>
      <w:r>
        <w:t>ти Группа включает кредиты и займы, торговую и прочую кредиторскую задолженность, за вычетом денежных средств и их эквивалентов. Капитал включает в себя капитал, приходящийся на акционеров материнской компании.</w:t>
      </w:r>
    </w:p>
    <w:p w:rsidR="00FD06F3" w:rsidRDefault="00FD06F3">
      <w:pPr>
        <w:widowControl w:val="0"/>
      </w:pPr>
    </w:p>
    <w:tbl>
      <w:tblPr>
        <w:tblW w:w="9639" w:type="dxa"/>
        <w:jc w:val="center"/>
        <w:tblLayout w:type="fixed"/>
        <w:tblLook w:val="01E0" w:firstRow="1" w:lastRow="1" w:firstColumn="1" w:lastColumn="1" w:noHBand="0" w:noVBand="0"/>
      </w:tblPr>
      <w:tblGrid>
        <w:gridCol w:w="6237"/>
        <w:gridCol w:w="1701"/>
        <w:gridCol w:w="1701"/>
      </w:tblGrid>
      <w:tr w:rsidR="00FD06F3">
        <w:trPr>
          <w:trHeight w:val="23"/>
          <w:jc w:val="center"/>
        </w:trPr>
        <w:tc>
          <w:tcPr>
            <w:tcW w:w="6237" w:type="dxa"/>
            <w:vAlign w:val="bottom"/>
          </w:tcPr>
          <w:p w:rsidR="00FD06F3" w:rsidRDefault="00FD06F3">
            <w:pPr>
              <w:pStyle w:val="Level3"/>
              <w:widowControl w:val="0"/>
              <w:spacing w:after="0"/>
              <w:ind w:left="5" w:right="-108" w:hanging="113"/>
              <w:jc w:val="left"/>
              <w:outlineLvl w:val="9"/>
              <w:rPr>
                <w:sz w:val="18"/>
                <w:szCs w:val="18"/>
              </w:rPr>
            </w:pPr>
          </w:p>
        </w:tc>
        <w:tc>
          <w:tcPr>
            <w:tcW w:w="1701" w:type="dxa"/>
            <w:tcBorders>
              <w:bottom w:val="single" w:sz="6" w:space="0" w:color="auto"/>
            </w:tcBorders>
            <w:vAlign w:val="bottom"/>
          </w:tcPr>
          <w:p w:rsidR="00FD06F3" w:rsidRDefault="0054425B">
            <w:pPr>
              <w:pStyle w:val="Level3"/>
              <w:widowControl w:val="0"/>
              <w:spacing w:after="0"/>
              <w:ind w:left="-108" w:right="-108"/>
              <w:jc w:val="center"/>
              <w:rPr>
                <w:sz w:val="18"/>
                <w:szCs w:val="18"/>
              </w:rPr>
            </w:pPr>
            <w:bookmarkStart w:id="198" w:name="_Toc387743917"/>
            <w:r>
              <w:rPr>
                <w:sz w:val="18"/>
                <w:szCs w:val="18"/>
              </w:rPr>
              <w:t>2017 г.</w:t>
            </w:r>
            <w:bookmarkEnd w:id="198"/>
          </w:p>
        </w:tc>
        <w:tc>
          <w:tcPr>
            <w:tcW w:w="1701" w:type="dxa"/>
            <w:tcBorders>
              <w:bottom w:val="single" w:sz="6" w:space="0" w:color="auto"/>
            </w:tcBorders>
            <w:vAlign w:val="bottom"/>
          </w:tcPr>
          <w:p w:rsidR="00FD06F3" w:rsidRDefault="0054425B">
            <w:pPr>
              <w:pStyle w:val="Level3"/>
              <w:widowControl w:val="0"/>
              <w:spacing w:after="0"/>
              <w:ind w:left="-108" w:right="-108"/>
              <w:jc w:val="center"/>
              <w:rPr>
                <w:sz w:val="18"/>
                <w:szCs w:val="18"/>
              </w:rPr>
            </w:pPr>
            <w:bookmarkStart w:id="199" w:name="_Toc387743918"/>
            <w:r>
              <w:rPr>
                <w:sz w:val="18"/>
                <w:szCs w:val="18"/>
              </w:rPr>
              <w:t>2016 г.</w:t>
            </w:r>
            <w:bookmarkEnd w:id="199"/>
          </w:p>
        </w:tc>
      </w:tr>
      <w:tr w:rsidR="00FD06F3">
        <w:trPr>
          <w:trHeight w:val="340"/>
          <w:jc w:val="center"/>
        </w:trPr>
        <w:tc>
          <w:tcPr>
            <w:tcW w:w="6237" w:type="dxa"/>
            <w:vAlign w:val="bottom"/>
          </w:tcPr>
          <w:p w:rsidR="00FD06F3" w:rsidRDefault="0054425B">
            <w:pPr>
              <w:pStyle w:val="Tabletext"/>
              <w:widowControl w:val="0"/>
              <w:ind w:left="5" w:right="-108" w:hanging="113"/>
              <w:jc w:val="left"/>
            </w:pPr>
            <w:r>
              <w:t>Кредиты и займы</w:t>
            </w:r>
          </w:p>
        </w:tc>
        <w:tc>
          <w:tcPr>
            <w:tcW w:w="1701" w:type="dxa"/>
            <w:tcBorders>
              <w:top w:val="single" w:sz="6" w:space="0" w:color="auto"/>
            </w:tcBorders>
            <w:vAlign w:val="bottom"/>
          </w:tcPr>
          <w:p w:rsidR="00FD06F3" w:rsidRDefault="0054425B">
            <w:pPr>
              <w:tabs>
                <w:tab w:val="decimal" w:pos="1247"/>
              </w:tabs>
              <w:jc w:val="left"/>
              <w:rPr>
                <w:sz w:val="18"/>
                <w:szCs w:val="18"/>
              </w:rPr>
            </w:pPr>
            <w:r>
              <w:rPr>
                <w:sz w:val="18"/>
                <w:szCs w:val="18"/>
              </w:rPr>
              <w:t>185 359</w:t>
            </w:r>
          </w:p>
        </w:tc>
        <w:tc>
          <w:tcPr>
            <w:tcW w:w="1701" w:type="dxa"/>
            <w:tcBorders>
              <w:top w:val="single" w:sz="6" w:space="0" w:color="auto"/>
            </w:tcBorders>
            <w:vAlign w:val="bottom"/>
          </w:tcPr>
          <w:p w:rsidR="00FD06F3" w:rsidRDefault="0054425B">
            <w:pPr>
              <w:tabs>
                <w:tab w:val="decimal" w:pos="1247"/>
              </w:tabs>
              <w:jc w:val="left"/>
              <w:rPr>
                <w:sz w:val="18"/>
                <w:szCs w:val="18"/>
              </w:rPr>
            </w:pPr>
            <w:r>
              <w:rPr>
                <w:sz w:val="18"/>
                <w:szCs w:val="18"/>
              </w:rPr>
              <w:t xml:space="preserve">1 </w:t>
            </w:r>
            <w:r>
              <w:rPr>
                <w:sz w:val="18"/>
                <w:szCs w:val="18"/>
              </w:rPr>
              <w:t>012 745</w:t>
            </w:r>
          </w:p>
        </w:tc>
      </w:tr>
      <w:tr w:rsidR="00FD06F3">
        <w:trPr>
          <w:trHeight w:val="23"/>
          <w:jc w:val="center"/>
        </w:trPr>
        <w:tc>
          <w:tcPr>
            <w:tcW w:w="6237" w:type="dxa"/>
            <w:vAlign w:val="bottom"/>
          </w:tcPr>
          <w:p w:rsidR="00FD06F3" w:rsidRDefault="0054425B">
            <w:pPr>
              <w:pStyle w:val="Tabletext"/>
              <w:widowControl w:val="0"/>
              <w:ind w:left="5" w:right="-108" w:hanging="113"/>
              <w:jc w:val="left"/>
            </w:pPr>
            <w:r>
              <w:t>Торговая и прочая кредиторская задолженность</w:t>
            </w:r>
          </w:p>
        </w:tc>
        <w:tc>
          <w:tcPr>
            <w:tcW w:w="1701" w:type="dxa"/>
            <w:vAlign w:val="bottom"/>
          </w:tcPr>
          <w:p w:rsidR="00FD06F3" w:rsidRDefault="0054425B">
            <w:pPr>
              <w:tabs>
                <w:tab w:val="decimal" w:pos="1247"/>
              </w:tabs>
              <w:jc w:val="left"/>
              <w:rPr>
                <w:sz w:val="18"/>
                <w:szCs w:val="18"/>
              </w:rPr>
            </w:pPr>
            <w:r>
              <w:rPr>
                <w:sz w:val="18"/>
                <w:szCs w:val="18"/>
              </w:rPr>
              <w:t>2 591 569</w:t>
            </w:r>
          </w:p>
        </w:tc>
        <w:tc>
          <w:tcPr>
            <w:tcW w:w="1701" w:type="dxa"/>
            <w:vAlign w:val="bottom"/>
          </w:tcPr>
          <w:p w:rsidR="00FD06F3" w:rsidRDefault="0054425B">
            <w:pPr>
              <w:tabs>
                <w:tab w:val="decimal" w:pos="1247"/>
              </w:tabs>
              <w:jc w:val="left"/>
              <w:rPr>
                <w:sz w:val="18"/>
                <w:szCs w:val="18"/>
              </w:rPr>
            </w:pPr>
            <w:r>
              <w:rPr>
                <w:sz w:val="18"/>
                <w:szCs w:val="18"/>
              </w:rPr>
              <w:t>3 464 203</w:t>
            </w:r>
          </w:p>
        </w:tc>
      </w:tr>
      <w:tr w:rsidR="00FD06F3">
        <w:trPr>
          <w:trHeight w:val="23"/>
          <w:jc w:val="center"/>
        </w:trPr>
        <w:tc>
          <w:tcPr>
            <w:tcW w:w="6237" w:type="dxa"/>
            <w:vAlign w:val="bottom"/>
          </w:tcPr>
          <w:p w:rsidR="00FD06F3" w:rsidRDefault="0054425B">
            <w:pPr>
              <w:pStyle w:val="Tabletext"/>
              <w:widowControl w:val="0"/>
              <w:ind w:left="5" w:right="-108" w:hanging="113"/>
              <w:jc w:val="left"/>
            </w:pPr>
            <w:r>
              <w:t>За вычетом: денежных средств и их эквивалентов</w:t>
            </w:r>
          </w:p>
        </w:tc>
        <w:tc>
          <w:tcPr>
            <w:tcW w:w="1701" w:type="dxa"/>
            <w:tcBorders>
              <w:bottom w:val="single" w:sz="6" w:space="0" w:color="auto"/>
            </w:tcBorders>
            <w:vAlign w:val="bottom"/>
          </w:tcPr>
          <w:p w:rsidR="00FD06F3" w:rsidRDefault="0054425B">
            <w:pPr>
              <w:tabs>
                <w:tab w:val="decimal" w:pos="1247"/>
              </w:tabs>
              <w:jc w:val="left"/>
              <w:rPr>
                <w:sz w:val="18"/>
                <w:szCs w:val="18"/>
              </w:rPr>
            </w:pPr>
            <w:r>
              <w:rPr>
                <w:sz w:val="18"/>
                <w:szCs w:val="18"/>
              </w:rPr>
              <w:t>(55 943)</w:t>
            </w:r>
          </w:p>
        </w:tc>
        <w:tc>
          <w:tcPr>
            <w:tcW w:w="1701" w:type="dxa"/>
            <w:tcBorders>
              <w:bottom w:val="single" w:sz="6" w:space="0" w:color="auto"/>
            </w:tcBorders>
            <w:vAlign w:val="bottom"/>
          </w:tcPr>
          <w:p w:rsidR="00FD06F3" w:rsidRDefault="0054425B">
            <w:pPr>
              <w:tabs>
                <w:tab w:val="decimal" w:pos="1247"/>
              </w:tabs>
              <w:jc w:val="left"/>
              <w:rPr>
                <w:sz w:val="18"/>
                <w:szCs w:val="18"/>
              </w:rPr>
            </w:pPr>
            <w:r>
              <w:rPr>
                <w:sz w:val="18"/>
                <w:szCs w:val="18"/>
              </w:rPr>
              <w:t>(145 773)</w:t>
            </w:r>
          </w:p>
        </w:tc>
      </w:tr>
      <w:tr w:rsidR="00FD06F3">
        <w:trPr>
          <w:trHeight w:val="23"/>
          <w:jc w:val="center"/>
        </w:trPr>
        <w:tc>
          <w:tcPr>
            <w:tcW w:w="6237" w:type="dxa"/>
            <w:vAlign w:val="bottom"/>
          </w:tcPr>
          <w:p w:rsidR="00FD06F3" w:rsidRDefault="0054425B">
            <w:pPr>
              <w:pStyle w:val="Tabletext"/>
              <w:widowControl w:val="0"/>
              <w:ind w:left="5" w:right="-108" w:hanging="113"/>
              <w:jc w:val="left"/>
              <w:rPr>
                <w:b/>
                <w:bCs/>
              </w:rPr>
            </w:pPr>
            <w:r>
              <w:rPr>
                <w:b/>
                <w:bCs/>
              </w:rPr>
              <w:t>Чистая задолженность</w:t>
            </w:r>
          </w:p>
        </w:tc>
        <w:tc>
          <w:tcPr>
            <w:tcW w:w="1701" w:type="dxa"/>
            <w:tcBorders>
              <w:top w:val="single" w:sz="6" w:space="0" w:color="auto"/>
            </w:tcBorders>
            <w:vAlign w:val="bottom"/>
          </w:tcPr>
          <w:p w:rsidR="00FD06F3" w:rsidRDefault="0054425B">
            <w:pPr>
              <w:widowControl w:val="0"/>
              <w:tabs>
                <w:tab w:val="decimal" w:pos="1247"/>
              </w:tabs>
              <w:jc w:val="left"/>
              <w:rPr>
                <w:b/>
                <w:sz w:val="18"/>
                <w:szCs w:val="18"/>
              </w:rPr>
            </w:pPr>
            <w:r>
              <w:rPr>
                <w:b/>
                <w:sz w:val="18"/>
                <w:szCs w:val="18"/>
              </w:rPr>
              <w:t>2 720 985</w:t>
            </w:r>
          </w:p>
        </w:tc>
        <w:tc>
          <w:tcPr>
            <w:tcW w:w="1701" w:type="dxa"/>
            <w:tcBorders>
              <w:top w:val="single" w:sz="6" w:space="0" w:color="auto"/>
            </w:tcBorders>
            <w:vAlign w:val="bottom"/>
          </w:tcPr>
          <w:p w:rsidR="00FD06F3" w:rsidRDefault="0054425B">
            <w:pPr>
              <w:widowControl w:val="0"/>
              <w:tabs>
                <w:tab w:val="decimal" w:pos="1247"/>
              </w:tabs>
              <w:jc w:val="left"/>
              <w:rPr>
                <w:b/>
                <w:sz w:val="18"/>
                <w:szCs w:val="18"/>
              </w:rPr>
            </w:pPr>
            <w:r>
              <w:rPr>
                <w:b/>
                <w:sz w:val="18"/>
                <w:szCs w:val="18"/>
              </w:rPr>
              <w:t>4 331 175</w:t>
            </w:r>
          </w:p>
        </w:tc>
      </w:tr>
      <w:tr w:rsidR="00FD06F3">
        <w:trPr>
          <w:trHeight w:val="23"/>
          <w:jc w:val="center"/>
        </w:trPr>
        <w:tc>
          <w:tcPr>
            <w:tcW w:w="6237" w:type="dxa"/>
            <w:vAlign w:val="bottom"/>
          </w:tcPr>
          <w:p w:rsidR="00FD06F3" w:rsidRDefault="0054425B">
            <w:pPr>
              <w:pStyle w:val="Tabletext"/>
              <w:widowControl w:val="0"/>
              <w:ind w:left="5" w:right="-108" w:hanging="113"/>
              <w:jc w:val="left"/>
              <w:rPr>
                <w:b/>
                <w:bCs/>
              </w:rPr>
            </w:pPr>
            <w:r>
              <w:rPr>
                <w:b/>
                <w:bCs/>
              </w:rPr>
              <w:t xml:space="preserve"> </w:t>
            </w:r>
          </w:p>
        </w:tc>
        <w:tc>
          <w:tcPr>
            <w:tcW w:w="1701" w:type="dxa"/>
            <w:vAlign w:val="bottom"/>
          </w:tcPr>
          <w:p w:rsidR="00FD06F3" w:rsidRDefault="00FD06F3">
            <w:pPr>
              <w:widowControl w:val="0"/>
              <w:tabs>
                <w:tab w:val="decimal" w:pos="1247"/>
              </w:tabs>
              <w:jc w:val="left"/>
              <w:rPr>
                <w:sz w:val="18"/>
                <w:szCs w:val="18"/>
              </w:rPr>
            </w:pPr>
          </w:p>
        </w:tc>
        <w:tc>
          <w:tcPr>
            <w:tcW w:w="1701" w:type="dxa"/>
            <w:vAlign w:val="bottom"/>
          </w:tcPr>
          <w:p w:rsidR="00FD06F3" w:rsidRDefault="00FD06F3">
            <w:pPr>
              <w:widowControl w:val="0"/>
              <w:tabs>
                <w:tab w:val="decimal" w:pos="1247"/>
              </w:tabs>
              <w:jc w:val="left"/>
              <w:rPr>
                <w:sz w:val="18"/>
                <w:szCs w:val="18"/>
              </w:rPr>
            </w:pPr>
          </w:p>
        </w:tc>
      </w:tr>
      <w:tr w:rsidR="00FD06F3">
        <w:trPr>
          <w:trHeight w:val="23"/>
          <w:jc w:val="center"/>
        </w:trPr>
        <w:tc>
          <w:tcPr>
            <w:tcW w:w="6237" w:type="dxa"/>
            <w:vAlign w:val="bottom"/>
          </w:tcPr>
          <w:p w:rsidR="00FD06F3" w:rsidRDefault="0054425B">
            <w:pPr>
              <w:pStyle w:val="Tabletext"/>
              <w:widowControl w:val="0"/>
              <w:ind w:left="5" w:right="-108" w:hanging="113"/>
              <w:jc w:val="left"/>
            </w:pPr>
            <w:r>
              <w:t xml:space="preserve">Капитал, приходящийся на акционеров материнской компании </w:t>
            </w:r>
          </w:p>
        </w:tc>
        <w:tc>
          <w:tcPr>
            <w:tcW w:w="1701" w:type="dxa"/>
            <w:tcBorders>
              <w:bottom w:val="single" w:sz="6" w:space="0" w:color="auto"/>
            </w:tcBorders>
            <w:vAlign w:val="bottom"/>
          </w:tcPr>
          <w:p w:rsidR="00FD06F3" w:rsidRDefault="0054425B">
            <w:pPr>
              <w:widowControl w:val="0"/>
              <w:tabs>
                <w:tab w:val="decimal" w:pos="1247"/>
              </w:tabs>
              <w:jc w:val="left"/>
              <w:rPr>
                <w:sz w:val="18"/>
                <w:szCs w:val="18"/>
              </w:rPr>
            </w:pPr>
            <w:r>
              <w:rPr>
                <w:sz w:val="18"/>
                <w:szCs w:val="18"/>
              </w:rPr>
              <w:t>8 761 398</w:t>
            </w:r>
          </w:p>
        </w:tc>
        <w:tc>
          <w:tcPr>
            <w:tcW w:w="1701" w:type="dxa"/>
            <w:tcBorders>
              <w:bottom w:val="single" w:sz="6" w:space="0" w:color="auto"/>
            </w:tcBorders>
            <w:vAlign w:val="bottom"/>
          </w:tcPr>
          <w:p w:rsidR="00FD06F3" w:rsidRDefault="0054425B">
            <w:pPr>
              <w:widowControl w:val="0"/>
              <w:tabs>
                <w:tab w:val="decimal" w:pos="1247"/>
              </w:tabs>
              <w:jc w:val="left"/>
              <w:rPr>
                <w:sz w:val="18"/>
                <w:szCs w:val="18"/>
              </w:rPr>
            </w:pPr>
            <w:r>
              <w:rPr>
                <w:sz w:val="18"/>
                <w:szCs w:val="18"/>
              </w:rPr>
              <w:t>7 717 060</w:t>
            </w:r>
          </w:p>
        </w:tc>
      </w:tr>
      <w:tr w:rsidR="00FD06F3">
        <w:trPr>
          <w:trHeight w:val="340"/>
          <w:jc w:val="center"/>
        </w:trPr>
        <w:tc>
          <w:tcPr>
            <w:tcW w:w="6237" w:type="dxa"/>
            <w:vAlign w:val="bottom"/>
          </w:tcPr>
          <w:p w:rsidR="00FD06F3" w:rsidRDefault="0054425B">
            <w:pPr>
              <w:pStyle w:val="Tabletext"/>
              <w:widowControl w:val="0"/>
              <w:ind w:left="5" w:right="-108" w:hanging="113"/>
              <w:jc w:val="left"/>
              <w:rPr>
                <w:b/>
                <w:bCs/>
              </w:rPr>
            </w:pPr>
            <w:r>
              <w:rPr>
                <w:b/>
                <w:bCs/>
              </w:rPr>
              <w:t>Капитал, приходящийся на акционеров материнской компании, и чистая задолженность</w:t>
            </w:r>
          </w:p>
        </w:tc>
        <w:tc>
          <w:tcPr>
            <w:tcW w:w="1701" w:type="dxa"/>
            <w:tcBorders>
              <w:top w:val="single" w:sz="6" w:space="0" w:color="auto"/>
              <w:bottom w:val="single" w:sz="12" w:space="0" w:color="auto"/>
            </w:tcBorders>
            <w:vAlign w:val="bottom"/>
          </w:tcPr>
          <w:p w:rsidR="00FD06F3" w:rsidRDefault="0054425B">
            <w:pPr>
              <w:widowControl w:val="0"/>
              <w:tabs>
                <w:tab w:val="decimal" w:pos="1247"/>
              </w:tabs>
              <w:jc w:val="left"/>
              <w:rPr>
                <w:b/>
                <w:sz w:val="18"/>
                <w:szCs w:val="18"/>
              </w:rPr>
            </w:pPr>
            <w:r>
              <w:rPr>
                <w:b/>
                <w:sz w:val="18"/>
                <w:szCs w:val="18"/>
              </w:rPr>
              <w:t>11 482 383</w:t>
            </w:r>
          </w:p>
        </w:tc>
        <w:tc>
          <w:tcPr>
            <w:tcW w:w="1701" w:type="dxa"/>
            <w:tcBorders>
              <w:top w:val="single" w:sz="6" w:space="0" w:color="auto"/>
              <w:bottom w:val="single" w:sz="12" w:space="0" w:color="auto"/>
            </w:tcBorders>
            <w:vAlign w:val="bottom"/>
          </w:tcPr>
          <w:p w:rsidR="00FD06F3" w:rsidRDefault="0054425B">
            <w:pPr>
              <w:widowControl w:val="0"/>
              <w:tabs>
                <w:tab w:val="decimal" w:pos="1247"/>
              </w:tabs>
              <w:jc w:val="left"/>
              <w:rPr>
                <w:b/>
                <w:sz w:val="18"/>
                <w:szCs w:val="18"/>
              </w:rPr>
            </w:pPr>
            <w:r>
              <w:rPr>
                <w:b/>
                <w:sz w:val="18"/>
                <w:szCs w:val="18"/>
              </w:rPr>
              <w:t>12 048 235</w:t>
            </w:r>
          </w:p>
        </w:tc>
      </w:tr>
      <w:tr w:rsidR="00FD06F3">
        <w:trPr>
          <w:trHeight w:val="20"/>
          <w:jc w:val="center"/>
        </w:trPr>
        <w:tc>
          <w:tcPr>
            <w:tcW w:w="6237" w:type="dxa"/>
            <w:vAlign w:val="bottom"/>
          </w:tcPr>
          <w:p w:rsidR="00FD06F3" w:rsidRDefault="0054425B">
            <w:pPr>
              <w:pStyle w:val="Tabletext"/>
              <w:widowControl w:val="0"/>
              <w:ind w:left="5" w:right="-108" w:hanging="113"/>
              <w:jc w:val="left"/>
              <w:rPr>
                <w:b/>
                <w:bCs/>
              </w:rPr>
            </w:pPr>
            <w:r>
              <w:rPr>
                <w:b/>
                <w:bCs/>
              </w:rPr>
              <w:t xml:space="preserve"> </w:t>
            </w:r>
          </w:p>
        </w:tc>
        <w:tc>
          <w:tcPr>
            <w:tcW w:w="1701" w:type="dxa"/>
            <w:tcBorders>
              <w:top w:val="single" w:sz="6" w:space="0" w:color="auto"/>
            </w:tcBorders>
            <w:vAlign w:val="bottom"/>
          </w:tcPr>
          <w:p w:rsidR="00FD06F3" w:rsidRDefault="00FD06F3">
            <w:pPr>
              <w:widowControl w:val="0"/>
              <w:tabs>
                <w:tab w:val="decimal" w:pos="1247"/>
              </w:tabs>
              <w:jc w:val="left"/>
              <w:rPr>
                <w:sz w:val="18"/>
                <w:szCs w:val="18"/>
              </w:rPr>
            </w:pPr>
          </w:p>
        </w:tc>
        <w:tc>
          <w:tcPr>
            <w:tcW w:w="1701" w:type="dxa"/>
            <w:tcBorders>
              <w:top w:val="single" w:sz="6" w:space="0" w:color="auto"/>
            </w:tcBorders>
            <w:vAlign w:val="bottom"/>
          </w:tcPr>
          <w:p w:rsidR="00FD06F3" w:rsidRDefault="00FD06F3">
            <w:pPr>
              <w:widowControl w:val="0"/>
              <w:tabs>
                <w:tab w:val="decimal" w:pos="1247"/>
              </w:tabs>
              <w:jc w:val="left"/>
              <w:rPr>
                <w:b/>
                <w:sz w:val="18"/>
                <w:szCs w:val="18"/>
              </w:rPr>
            </w:pPr>
          </w:p>
        </w:tc>
      </w:tr>
      <w:tr w:rsidR="00FD06F3">
        <w:trPr>
          <w:trHeight w:val="23"/>
          <w:jc w:val="center"/>
        </w:trPr>
        <w:tc>
          <w:tcPr>
            <w:tcW w:w="6237" w:type="dxa"/>
            <w:vAlign w:val="bottom"/>
          </w:tcPr>
          <w:p w:rsidR="00FD06F3" w:rsidRDefault="0054425B">
            <w:pPr>
              <w:pStyle w:val="Tabletext"/>
              <w:widowControl w:val="0"/>
              <w:ind w:left="5" w:right="-108" w:hanging="113"/>
              <w:jc w:val="left"/>
            </w:pPr>
            <w:r>
              <w:t>Соотношение собственных и заемных средств</w:t>
            </w:r>
          </w:p>
        </w:tc>
        <w:tc>
          <w:tcPr>
            <w:tcW w:w="1701" w:type="dxa"/>
            <w:vAlign w:val="bottom"/>
          </w:tcPr>
          <w:p w:rsidR="00FD06F3" w:rsidRDefault="0054425B">
            <w:pPr>
              <w:widowControl w:val="0"/>
              <w:tabs>
                <w:tab w:val="decimal" w:pos="1247"/>
              </w:tabs>
              <w:jc w:val="left"/>
              <w:rPr>
                <w:sz w:val="18"/>
                <w:szCs w:val="18"/>
              </w:rPr>
            </w:pPr>
            <w:r>
              <w:rPr>
                <w:sz w:val="18"/>
                <w:szCs w:val="18"/>
              </w:rPr>
              <w:t>24%</w:t>
            </w:r>
          </w:p>
        </w:tc>
        <w:tc>
          <w:tcPr>
            <w:tcW w:w="1701" w:type="dxa"/>
            <w:vAlign w:val="bottom"/>
          </w:tcPr>
          <w:p w:rsidR="00FD06F3" w:rsidRDefault="0054425B">
            <w:pPr>
              <w:widowControl w:val="0"/>
              <w:tabs>
                <w:tab w:val="decimal" w:pos="1247"/>
              </w:tabs>
              <w:jc w:val="left"/>
              <w:rPr>
                <w:sz w:val="18"/>
                <w:szCs w:val="18"/>
              </w:rPr>
            </w:pPr>
            <w:r>
              <w:rPr>
                <w:sz w:val="18"/>
                <w:szCs w:val="18"/>
              </w:rPr>
              <w:t>36%</w:t>
            </w:r>
          </w:p>
        </w:tc>
      </w:tr>
    </w:tbl>
    <w:p w:rsidR="00FD06F3" w:rsidRDefault="00FD06F3">
      <w:pPr>
        <w:widowControl w:val="0"/>
      </w:pPr>
    </w:p>
    <w:p w:rsidR="00FD06F3" w:rsidRDefault="0054425B">
      <w:r>
        <w:t xml:space="preserve">Ниже приводятся данные по изменению обязательств, возникающих в результате </w:t>
      </w:r>
      <w:r>
        <w:t>финансовой деятельности:</w:t>
      </w:r>
    </w:p>
    <w:p w:rsidR="00FD06F3" w:rsidRDefault="00FD06F3"/>
    <w:tbl>
      <w:tblPr>
        <w:tblW w:w="9617" w:type="dxa"/>
        <w:jc w:val="center"/>
        <w:tblLayout w:type="fixed"/>
        <w:tblLook w:val="04A0" w:firstRow="1" w:lastRow="0" w:firstColumn="1" w:lastColumn="0" w:noHBand="0" w:noVBand="1"/>
      </w:tblPr>
      <w:tblGrid>
        <w:gridCol w:w="4187"/>
        <w:gridCol w:w="1362"/>
        <w:gridCol w:w="1362"/>
        <w:gridCol w:w="1362"/>
        <w:gridCol w:w="1344"/>
      </w:tblGrid>
      <w:tr w:rsidR="00FD06F3">
        <w:trPr>
          <w:trHeight w:val="20"/>
          <w:jc w:val="center"/>
        </w:trPr>
        <w:tc>
          <w:tcPr>
            <w:tcW w:w="2177" w:type="pct"/>
            <w:tcMar>
              <w:top w:w="0" w:type="dxa"/>
              <w:left w:w="108" w:type="dxa"/>
              <w:bottom w:w="0" w:type="dxa"/>
              <w:right w:w="108" w:type="dxa"/>
            </w:tcMar>
            <w:vAlign w:val="bottom"/>
            <w:hideMark/>
          </w:tcPr>
          <w:p w:rsidR="00FD06F3" w:rsidRDefault="00FD06F3">
            <w:pPr>
              <w:ind w:left="5" w:right="-108" w:hanging="113"/>
              <w:rPr>
                <w:rFonts w:cs="Arial"/>
                <w:sz w:val="18"/>
                <w:szCs w:val="18"/>
              </w:rPr>
            </w:pPr>
          </w:p>
        </w:tc>
        <w:tc>
          <w:tcPr>
            <w:tcW w:w="708" w:type="pct"/>
            <w:tcBorders>
              <w:bottom w:val="single" w:sz="6" w:space="0" w:color="auto"/>
            </w:tcBorders>
            <w:tcMar>
              <w:top w:w="0" w:type="dxa"/>
              <w:left w:w="108" w:type="dxa"/>
              <w:bottom w:w="0" w:type="dxa"/>
              <w:right w:w="108" w:type="dxa"/>
            </w:tcMar>
            <w:vAlign w:val="bottom"/>
            <w:hideMark/>
          </w:tcPr>
          <w:p w:rsidR="00FD06F3" w:rsidRDefault="0054425B">
            <w:pPr>
              <w:ind w:left="-108" w:right="-108"/>
              <w:jc w:val="center"/>
              <w:rPr>
                <w:rFonts w:eastAsiaTheme="minorHAnsi" w:cs="Arial"/>
                <w:b/>
                <w:bCs/>
                <w:color w:val="000000"/>
                <w:sz w:val="18"/>
                <w:szCs w:val="18"/>
              </w:rPr>
            </w:pPr>
            <w:r>
              <w:rPr>
                <w:rFonts w:cs="Arial"/>
                <w:b/>
                <w:bCs/>
                <w:color w:val="000000"/>
                <w:sz w:val="18"/>
                <w:szCs w:val="18"/>
              </w:rPr>
              <w:t xml:space="preserve">1 января </w:t>
            </w:r>
            <w:r>
              <w:rPr>
                <w:rFonts w:cs="Arial"/>
                <w:b/>
                <w:bCs/>
                <w:color w:val="000000"/>
                <w:sz w:val="18"/>
                <w:szCs w:val="18"/>
              </w:rPr>
              <w:br/>
              <w:t>2017 г.</w:t>
            </w:r>
          </w:p>
        </w:tc>
        <w:tc>
          <w:tcPr>
            <w:tcW w:w="708" w:type="pct"/>
            <w:tcBorders>
              <w:bottom w:val="single" w:sz="6" w:space="0" w:color="auto"/>
            </w:tcBorders>
            <w:tcMar>
              <w:top w:w="0" w:type="dxa"/>
              <w:left w:w="108" w:type="dxa"/>
              <w:bottom w:w="0" w:type="dxa"/>
              <w:right w:w="108" w:type="dxa"/>
            </w:tcMar>
            <w:vAlign w:val="bottom"/>
            <w:hideMark/>
          </w:tcPr>
          <w:p w:rsidR="00FD06F3" w:rsidRDefault="0054425B">
            <w:pPr>
              <w:ind w:left="-108" w:right="-108"/>
              <w:jc w:val="center"/>
              <w:rPr>
                <w:rFonts w:cs="Arial"/>
                <w:b/>
                <w:bCs/>
                <w:color w:val="000000"/>
                <w:sz w:val="18"/>
                <w:szCs w:val="18"/>
              </w:rPr>
            </w:pPr>
            <w:r>
              <w:rPr>
                <w:rFonts w:cs="Arial"/>
                <w:b/>
                <w:bCs/>
                <w:color w:val="000000"/>
                <w:sz w:val="18"/>
                <w:szCs w:val="18"/>
              </w:rPr>
              <w:t xml:space="preserve">Денежные потоки </w:t>
            </w:r>
          </w:p>
        </w:tc>
        <w:tc>
          <w:tcPr>
            <w:tcW w:w="708" w:type="pct"/>
            <w:tcBorders>
              <w:bottom w:val="single" w:sz="6" w:space="0" w:color="auto"/>
            </w:tcBorders>
            <w:tcMar>
              <w:top w:w="0" w:type="dxa"/>
              <w:left w:w="108" w:type="dxa"/>
              <w:bottom w:w="0" w:type="dxa"/>
              <w:right w:w="108" w:type="dxa"/>
            </w:tcMar>
            <w:vAlign w:val="bottom"/>
            <w:hideMark/>
          </w:tcPr>
          <w:p w:rsidR="00FD06F3" w:rsidRDefault="0054425B">
            <w:pPr>
              <w:ind w:left="-108" w:right="-108"/>
              <w:jc w:val="center"/>
              <w:rPr>
                <w:rFonts w:cs="Arial"/>
                <w:b/>
                <w:bCs/>
                <w:color w:val="000000"/>
                <w:sz w:val="18"/>
                <w:szCs w:val="18"/>
              </w:rPr>
            </w:pPr>
            <w:r>
              <w:rPr>
                <w:rFonts w:cs="Arial"/>
                <w:b/>
                <w:bCs/>
                <w:color w:val="000000"/>
                <w:sz w:val="18"/>
                <w:szCs w:val="18"/>
              </w:rPr>
              <w:t>Финансовые расходы</w:t>
            </w:r>
          </w:p>
        </w:tc>
        <w:tc>
          <w:tcPr>
            <w:tcW w:w="699" w:type="pct"/>
            <w:tcBorders>
              <w:bottom w:val="single" w:sz="6" w:space="0" w:color="auto"/>
            </w:tcBorders>
            <w:tcMar>
              <w:top w:w="0" w:type="dxa"/>
              <w:left w:w="108" w:type="dxa"/>
              <w:bottom w:w="0" w:type="dxa"/>
              <w:right w:w="108" w:type="dxa"/>
            </w:tcMar>
            <w:vAlign w:val="bottom"/>
            <w:hideMark/>
          </w:tcPr>
          <w:p w:rsidR="00FD06F3" w:rsidRDefault="0054425B">
            <w:pPr>
              <w:ind w:left="-108" w:right="-108"/>
              <w:jc w:val="center"/>
              <w:rPr>
                <w:rFonts w:cs="Arial"/>
                <w:b/>
                <w:bCs/>
                <w:color w:val="000000"/>
                <w:sz w:val="18"/>
                <w:szCs w:val="18"/>
              </w:rPr>
            </w:pPr>
            <w:r>
              <w:rPr>
                <w:rFonts w:cs="Arial"/>
                <w:b/>
                <w:bCs/>
                <w:color w:val="000000"/>
                <w:sz w:val="18"/>
                <w:szCs w:val="18"/>
              </w:rPr>
              <w:t xml:space="preserve">31 декабря </w:t>
            </w:r>
            <w:r>
              <w:rPr>
                <w:rFonts w:cs="Arial"/>
                <w:b/>
                <w:bCs/>
                <w:color w:val="000000"/>
                <w:sz w:val="18"/>
                <w:szCs w:val="18"/>
              </w:rPr>
              <w:br/>
              <w:t>2017 г.</w:t>
            </w:r>
          </w:p>
        </w:tc>
      </w:tr>
      <w:tr w:rsidR="00FD06F3">
        <w:trPr>
          <w:trHeight w:val="567"/>
          <w:jc w:val="center"/>
        </w:trPr>
        <w:tc>
          <w:tcPr>
            <w:tcW w:w="2177" w:type="pct"/>
            <w:tcMar>
              <w:top w:w="0" w:type="dxa"/>
              <w:left w:w="108" w:type="dxa"/>
              <w:bottom w:w="0" w:type="dxa"/>
              <w:right w:w="108" w:type="dxa"/>
            </w:tcMar>
            <w:vAlign w:val="bottom"/>
            <w:hideMark/>
          </w:tcPr>
          <w:p w:rsidR="00FD06F3" w:rsidRDefault="0054425B">
            <w:pPr>
              <w:ind w:left="5" w:right="-108" w:hanging="113"/>
              <w:rPr>
                <w:rFonts w:cs="Arial"/>
                <w:color w:val="000000"/>
                <w:sz w:val="18"/>
                <w:szCs w:val="18"/>
              </w:rPr>
            </w:pPr>
            <w:r>
              <w:rPr>
                <w:rFonts w:cs="Arial"/>
                <w:color w:val="000000"/>
                <w:sz w:val="18"/>
                <w:szCs w:val="18"/>
              </w:rPr>
              <w:t>Краткосрочные и долгосрочные кредиты и займы</w:t>
            </w:r>
          </w:p>
        </w:tc>
        <w:tc>
          <w:tcPr>
            <w:tcW w:w="708" w:type="pct"/>
            <w:tcBorders>
              <w:top w:val="single" w:sz="6" w:space="0" w:color="auto"/>
            </w:tcBorders>
            <w:tcMar>
              <w:top w:w="0" w:type="dxa"/>
              <w:left w:w="108" w:type="dxa"/>
              <w:bottom w:w="0" w:type="dxa"/>
              <w:right w:w="108" w:type="dxa"/>
            </w:tcMar>
            <w:vAlign w:val="bottom"/>
            <w:hideMark/>
          </w:tcPr>
          <w:p w:rsidR="00FD06F3" w:rsidRDefault="0054425B">
            <w:pPr>
              <w:tabs>
                <w:tab w:val="decimal" w:pos="964"/>
              </w:tabs>
              <w:rPr>
                <w:rFonts w:cs="Arial"/>
                <w:color w:val="000000"/>
                <w:sz w:val="18"/>
                <w:szCs w:val="18"/>
              </w:rPr>
            </w:pPr>
            <w:r>
              <w:rPr>
                <w:rFonts w:cs="Arial"/>
                <w:color w:val="000000"/>
                <w:sz w:val="18"/>
                <w:szCs w:val="18"/>
              </w:rPr>
              <w:t>1 012 745</w:t>
            </w:r>
          </w:p>
        </w:tc>
        <w:tc>
          <w:tcPr>
            <w:tcW w:w="708" w:type="pct"/>
            <w:tcBorders>
              <w:top w:val="single" w:sz="6" w:space="0" w:color="auto"/>
            </w:tcBorders>
            <w:tcMar>
              <w:top w:w="0" w:type="dxa"/>
              <w:left w:w="108" w:type="dxa"/>
              <w:bottom w:w="0" w:type="dxa"/>
              <w:right w:w="108" w:type="dxa"/>
            </w:tcMar>
            <w:vAlign w:val="bottom"/>
            <w:hideMark/>
          </w:tcPr>
          <w:p w:rsidR="00FD06F3" w:rsidRDefault="0054425B">
            <w:pPr>
              <w:tabs>
                <w:tab w:val="decimal" w:pos="964"/>
              </w:tabs>
              <w:rPr>
                <w:rFonts w:cs="Arial"/>
                <w:color w:val="000000"/>
                <w:sz w:val="18"/>
                <w:szCs w:val="18"/>
              </w:rPr>
            </w:pPr>
            <w:r>
              <w:rPr>
                <w:rFonts w:cs="Arial"/>
                <w:color w:val="000000"/>
                <w:sz w:val="18"/>
                <w:szCs w:val="18"/>
              </w:rPr>
              <w:t>(903 316)</w:t>
            </w:r>
          </w:p>
        </w:tc>
        <w:tc>
          <w:tcPr>
            <w:tcW w:w="708" w:type="pct"/>
            <w:tcBorders>
              <w:top w:val="single" w:sz="6" w:space="0" w:color="auto"/>
            </w:tcBorders>
            <w:tcMar>
              <w:top w:w="0" w:type="dxa"/>
              <w:left w:w="108" w:type="dxa"/>
              <w:bottom w:w="0" w:type="dxa"/>
              <w:right w:w="108" w:type="dxa"/>
            </w:tcMar>
            <w:vAlign w:val="bottom"/>
            <w:hideMark/>
          </w:tcPr>
          <w:p w:rsidR="00FD06F3" w:rsidRDefault="0054425B">
            <w:pPr>
              <w:tabs>
                <w:tab w:val="decimal" w:pos="964"/>
              </w:tabs>
              <w:rPr>
                <w:rFonts w:cs="Arial"/>
                <w:color w:val="000000"/>
                <w:sz w:val="18"/>
                <w:szCs w:val="18"/>
              </w:rPr>
            </w:pPr>
            <w:r>
              <w:rPr>
                <w:rFonts w:cs="Arial"/>
                <w:color w:val="000000"/>
                <w:sz w:val="18"/>
                <w:szCs w:val="18"/>
              </w:rPr>
              <w:t>87 033</w:t>
            </w:r>
          </w:p>
        </w:tc>
        <w:tc>
          <w:tcPr>
            <w:tcW w:w="699" w:type="pct"/>
            <w:tcBorders>
              <w:top w:val="single" w:sz="6" w:space="0" w:color="auto"/>
            </w:tcBorders>
            <w:tcMar>
              <w:top w:w="0" w:type="dxa"/>
              <w:left w:w="108" w:type="dxa"/>
              <w:bottom w:w="0" w:type="dxa"/>
              <w:right w:w="108" w:type="dxa"/>
            </w:tcMar>
            <w:vAlign w:val="bottom"/>
            <w:hideMark/>
          </w:tcPr>
          <w:p w:rsidR="00FD06F3" w:rsidRDefault="0054425B">
            <w:pPr>
              <w:tabs>
                <w:tab w:val="decimal" w:pos="964"/>
              </w:tabs>
              <w:rPr>
                <w:rFonts w:cs="Arial"/>
                <w:color w:val="000000"/>
                <w:sz w:val="18"/>
                <w:szCs w:val="18"/>
              </w:rPr>
            </w:pPr>
            <w:r>
              <w:rPr>
                <w:rFonts w:cs="Arial"/>
                <w:color w:val="000000"/>
                <w:sz w:val="18"/>
                <w:szCs w:val="18"/>
              </w:rPr>
              <w:t>185 359</w:t>
            </w:r>
          </w:p>
        </w:tc>
      </w:tr>
    </w:tbl>
    <w:p w:rsidR="00FD06F3" w:rsidRDefault="00FD06F3">
      <w:pPr>
        <w:rPr>
          <w:rFonts w:eastAsiaTheme="minorHAnsi"/>
        </w:rPr>
      </w:pPr>
    </w:p>
    <w:p w:rsidR="00FD06F3" w:rsidRDefault="00FD06F3">
      <w:pPr>
        <w:widowControl w:val="0"/>
      </w:pPr>
    </w:p>
    <w:p w:rsidR="00FD06F3" w:rsidRDefault="0054425B">
      <w:pPr>
        <w:pStyle w:val="12"/>
      </w:pPr>
      <w:r>
        <w:t xml:space="preserve">22. </w:t>
      </w:r>
      <w:bookmarkStart w:id="200" w:name="_Toc446088734"/>
      <w:r>
        <w:t>Прибыль или убыток на акцию</w:t>
      </w:r>
      <w:bookmarkEnd w:id="200"/>
      <w:r>
        <w:t xml:space="preserve"> </w:t>
      </w:r>
    </w:p>
    <w:p w:rsidR="00FD06F3" w:rsidRDefault="00FD06F3"/>
    <w:p w:rsidR="00FD06F3" w:rsidRDefault="0054425B">
      <w:r>
        <w:t xml:space="preserve">Базовая прибыль или убыток на акцию </w:t>
      </w:r>
      <w:r>
        <w:t>рассчитывается путем деления прибыли или убытка, приходящихся на акционеров Компании, на средневзвешенное число обыкновенных акций, находящихся в обращении в течение года, за вычетом собственных акций, выкупленных у акционеров.</w:t>
      </w:r>
    </w:p>
    <w:p w:rsidR="00FD06F3" w:rsidRDefault="00FD06F3"/>
    <w:p w:rsidR="00FD06F3" w:rsidRDefault="0054425B">
      <w:r>
        <w:t>У Компании нет потенциальны</w:t>
      </w:r>
      <w:r>
        <w:t>х разводняющих обыкновенных акций, соответственно, разводненная прибыль или убыток на акцию равна базовой прибыли или убытку на акцию.</w:t>
      </w:r>
    </w:p>
    <w:p w:rsidR="00FD06F3" w:rsidRDefault="00FD06F3"/>
    <w:p w:rsidR="00FD06F3" w:rsidRDefault="0054425B">
      <w:r>
        <w:t>Расчет прибыли на акцию осуществляется следующим образом:</w:t>
      </w:r>
    </w:p>
    <w:p w:rsidR="00FD06F3" w:rsidRDefault="00FD06F3"/>
    <w:tbl>
      <w:tblPr>
        <w:tblW w:w="9639" w:type="dxa"/>
        <w:jc w:val="center"/>
        <w:tblLayout w:type="fixed"/>
        <w:tblLook w:val="0000" w:firstRow="0" w:lastRow="0" w:firstColumn="0" w:lastColumn="0" w:noHBand="0" w:noVBand="0"/>
      </w:tblPr>
      <w:tblGrid>
        <w:gridCol w:w="5443"/>
        <w:gridCol w:w="794"/>
        <w:gridCol w:w="1701"/>
        <w:gridCol w:w="1701"/>
      </w:tblGrid>
      <w:tr w:rsidR="00FD06F3">
        <w:trPr>
          <w:trHeight w:val="20"/>
          <w:jc w:val="center"/>
        </w:trPr>
        <w:tc>
          <w:tcPr>
            <w:tcW w:w="5443" w:type="dxa"/>
            <w:tcMar>
              <w:top w:w="0" w:type="dxa"/>
              <w:left w:w="108" w:type="dxa"/>
              <w:bottom w:w="0" w:type="dxa"/>
              <w:right w:w="108" w:type="dxa"/>
            </w:tcMar>
            <w:vAlign w:val="bottom"/>
          </w:tcPr>
          <w:p w:rsidR="00FD06F3" w:rsidRDefault="00FD06F3">
            <w:pPr>
              <w:ind w:left="5" w:right="-108" w:hanging="113"/>
              <w:rPr>
                <w:sz w:val="18"/>
                <w:szCs w:val="18"/>
              </w:rPr>
            </w:pPr>
          </w:p>
        </w:tc>
        <w:tc>
          <w:tcPr>
            <w:tcW w:w="794" w:type="dxa"/>
            <w:tcBorders>
              <w:bottom w:val="single" w:sz="6" w:space="0" w:color="auto"/>
            </w:tcBorders>
            <w:tcMar>
              <w:top w:w="0" w:type="dxa"/>
              <w:left w:w="108" w:type="dxa"/>
              <w:bottom w:w="0" w:type="dxa"/>
              <w:right w:w="108" w:type="dxa"/>
            </w:tcMar>
            <w:vAlign w:val="bottom"/>
          </w:tcPr>
          <w:p w:rsidR="00FD06F3" w:rsidRDefault="0054425B">
            <w:pPr>
              <w:ind w:left="-108" w:right="-108"/>
              <w:jc w:val="center"/>
              <w:rPr>
                <w:b/>
                <w:sz w:val="18"/>
                <w:szCs w:val="18"/>
              </w:rPr>
            </w:pPr>
            <w:r>
              <w:rPr>
                <w:b/>
                <w:sz w:val="18"/>
                <w:szCs w:val="18"/>
              </w:rPr>
              <w:t>Прим.</w:t>
            </w:r>
          </w:p>
        </w:tc>
        <w:tc>
          <w:tcPr>
            <w:tcW w:w="1701" w:type="dxa"/>
            <w:tcBorders>
              <w:bottom w:val="single" w:sz="6" w:space="0" w:color="auto"/>
            </w:tcBorders>
            <w:tcMar>
              <w:top w:w="0" w:type="dxa"/>
              <w:left w:w="108" w:type="dxa"/>
              <w:bottom w:w="0" w:type="dxa"/>
              <w:right w:w="108" w:type="dxa"/>
            </w:tcMar>
            <w:vAlign w:val="bottom"/>
          </w:tcPr>
          <w:p w:rsidR="00FD06F3" w:rsidRDefault="0054425B">
            <w:pPr>
              <w:ind w:left="-108" w:right="-108"/>
              <w:jc w:val="center"/>
              <w:rPr>
                <w:b/>
                <w:sz w:val="18"/>
                <w:szCs w:val="18"/>
              </w:rPr>
            </w:pPr>
            <w:r>
              <w:rPr>
                <w:b/>
                <w:sz w:val="18"/>
                <w:szCs w:val="18"/>
              </w:rPr>
              <w:t>2017 г.</w:t>
            </w:r>
          </w:p>
        </w:tc>
        <w:tc>
          <w:tcPr>
            <w:tcW w:w="1701" w:type="dxa"/>
            <w:tcBorders>
              <w:bottom w:val="single" w:sz="6" w:space="0" w:color="auto"/>
            </w:tcBorders>
            <w:tcMar>
              <w:top w:w="0" w:type="dxa"/>
              <w:left w:w="108" w:type="dxa"/>
              <w:bottom w:w="0" w:type="dxa"/>
              <w:right w:w="108" w:type="dxa"/>
            </w:tcMar>
            <w:vAlign w:val="bottom"/>
          </w:tcPr>
          <w:p w:rsidR="00FD06F3" w:rsidRDefault="0054425B">
            <w:pPr>
              <w:ind w:left="-108" w:right="-108"/>
              <w:jc w:val="center"/>
              <w:rPr>
                <w:b/>
                <w:sz w:val="18"/>
                <w:szCs w:val="18"/>
              </w:rPr>
            </w:pPr>
            <w:r>
              <w:rPr>
                <w:b/>
                <w:sz w:val="18"/>
                <w:szCs w:val="18"/>
              </w:rPr>
              <w:t>2016 г.</w:t>
            </w:r>
          </w:p>
        </w:tc>
      </w:tr>
      <w:tr w:rsidR="00FD06F3">
        <w:trPr>
          <w:trHeight w:val="567"/>
          <w:jc w:val="center"/>
        </w:trPr>
        <w:tc>
          <w:tcPr>
            <w:tcW w:w="5443" w:type="dxa"/>
            <w:tcMar>
              <w:top w:w="0" w:type="dxa"/>
              <w:left w:w="108" w:type="dxa"/>
              <w:bottom w:w="0" w:type="dxa"/>
              <w:right w:w="108" w:type="dxa"/>
            </w:tcMar>
            <w:vAlign w:val="bottom"/>
          </w:tcPr>
          <w:p w:rsidR="00FD06F3" w:rsidRDefault="0054425B">
            <w:pPr>
              <w:pStyle w:val="Tabletext1"/>
              <w:ind w:left="5" w:right="-108" w:hanging="113"/>
              <w:rPr>
                <w:rFonts w:ascii="Times New Roman" w:hAnsi="Times New Roman"/>
                <w:sz w:val="18"/>
                <w:szCs w:val="18"/>
              </w:rPr>
            </w:pPr>
            <w:r>
              <w:rPr>
                <w:rFonts w:ascii="Times New Roman" w:hAnsi="Times New Roman"/>
                <w:sz w:val="18"/>
                <w:szCs w:val="18"/>
              </w:rPr>
              <w:t xml:space="preserve">Прибыль за год, приходящиеся на </w:t>
            </w:r>
            <w:r>
              <w:rPr>
                <w:rFonts w:ascii="Times New Roman" w:hAnsi="Times New Roman"/>
                <w:sz w:val="18"/>
                <w:szCs w:val="18"/>
              </w:rPr>
              <w:t>владельцев обыкновенных акций</w:t>
            </w:r>
          </w:p>
        </w:tc>
        <w:tc>
          <w:tcPr>
            <w:tcW w:w="794" w:type="dxa"/>
            <w:tcBorders>
              <w:top w:val="single" w:sz="6" w:space="0" w:color="auto"/>
            </w:tcBorders>
            <w:tcMar>
              <w:top w:w="0" w:type="dxa"/>
              <w:left w:w="108" w:type="dxa"/>
              <w:bottom w:w="0" w:type="dxa"/>
              <w:right w:w="108" w:type="dxa"/>
            </w:tcMar>
            <w:vAlign w:val="bottom"/>
          </w:tcPr>
          <w:p w:rsidR="00FD06F3" w:rsidRDefault="00FD06F3">
            <w:pPr>
              <w:pStyle w:val="Tablenumbers1"/>
              <w:tabs>
                <w:tab w:val="clear" w:pos="1503"/>
              </w:tabs>
              <w:ind w:left="-108" w:right="-108"/>
              <w:jc w:val="center"/>
              <w:rPr>
                <w:rFonts w:ascii="Times New Roman" w:hAnsi="Times New Roman"/>
                <w:szCs w:val="18"/>
              </w:rPr>
            </w:pPr>
          </w:p>
        </w:tc>
        <w:tc>
          <w:tcPr>
            <w:tcW w:w="1701" w:type="dxa"/>
            <w:tcBorders>
              <w:top w:val="single" w:sz="6" w:space="0" w:color="auto"/>
            </w:tcBorders>
            <w:tcMar>
              <w:top w:w="0" w:type="dxa"/>
              <w:left w:w="108" w:type="dxa"/>
              <w:bottom w:w="0" w:type="dxa"/>
              <w:right w:w="108" w:type="dxa"/>
            </w:tcMar>
            <w:vAlign w:val="bottom"/>
          </w:tcPr>
          <w:p w:rsidR="00FD06F3" w:rsidRDefault="0054425B">
            <w:pPr>
              <w:tabs>
                <w:tab w:val="decimal" w:pos="1247"/>
              </w:tabs>
              <w:ind w:left="-108" w:right="-57"/>
              <w:rPr>
                <w:sz w:val="18"/>
                <w:szCs w:val="18"/>
              </w:rPr>
            </w:pPr>
            <w:r>
              <w:rPr>
                <w:sz w:val="18"/>
                <w:szCs w:val="18"/>
              </w:rPr>
              <w:t>1 034 695</w:t>
            </w:r>
          </w:p>
        </w:tc>
        <w:tc>
          <w:tcPr>
            <w:tcW w:w="1701" w:type="dxa"/>
            <w:tcBorders>
              <w:top w:val="single" w:sz="6" w:space="0" w:color="auto"/>
            </w:tcBorders>
            <w:tcMar>
              <w:top w:w="0" w:type="dxa"/>
              <w:left w:w="108" w:type="dxa"/>
              <w:bottom w:w="0" w:type="dxa"/>
              <w:right w:w="108" w:type="dxa"/>
            </w:tcMar>
            <w:vAlign w:val="bottom"/>
          </w:tcPr>
          <w:p w:rsidR="00FD06F3" w:rsidRDefault="0054425B">
            <w:pPr>
              <w:tabs>
                <w:tab w:val="decimal" w:pos="1247"/>
              </w:tabs>
              <w:ind w:left="-108" w:right="-57"/>
              <w:rPr>
                <w:sz w:val="18"/>
                <w:szCs w:val="18"/>
              </w:rPr>
            </w:pPr>
            <w:r>
              <w:rPr>
                <w:sz w:val="18"/>
                <w:szCs w:val="18"/>
              </w:rPr>
              <w:t>128 136</w:t>
            </w:r>
          </w:p>
        </w:tc>
      </w:tr>
      <w:tr w:rsidR="00FD06F3">
        <w:trPr>
          <w:trHeight w:val="20"/>
          <w:jc w:val="center"/>
        </w:trPr>
        <w:tc>
          <w:tcPr>
            <w:tcW w:w="5443" w:type="dxa"/>
            <w:tcMar>
              <w:top w:w="0" w:type="dxa"/>
              <w:left w:w="108" w:type="dxa"/>
              <w:bottom w:w="0" w:type="dxa"/>
              <w:right w:w="108" w:type="dxa"/>
            </w:tcMar>
            <w:vAlign w:val="bottom"/>
          </w:tcPr>
          <w:p w:rsidR="00FD06F3" w:rsidRDefault="0054425B">
            <w:pPr>
              <w:pStyle w:val="Tabletext1"/>
              <w:ind w:left="5" w:right="-108" w:hanging="113"/>
              <w:rPr>
                <w:rFonts w:ascii="Times New Roman" w:hAnsi="Times New Roman"/>
                <w:sz w:val="18"/>
                <w:szCs w:val="18"/>
              </w:rPr>
            </w:pPr>
            <w:r>
              <w:rPr>
                <w:rFonts w:ascii="Times New Roman" w:hAnsi="Times New Roman"/>
                <w:sz w:val="18"/>
                <w:szCs w:val="18"/>
              </w:rPr>
              <w:t>Средневзвешенное число находящихся в обращении обыкновенных акций</w:t>
            </w:r>
          </w:p>
        </w:tc>
        <w:tc>
          <w:tcPr>
            <w:tcW w:w="794" w:type="dxa"/>
            <w:tcMar>
              <w:top w:w="0" w:type="dxa"/>
              <w:left w:w="108" w:type="dxa"/>
              <w:bottom w:w="0" w:type="dxa"/>
              <w:right w:w="108" w:type="dxa"/>
            </w:tcMar>
            <w:vAlign w:val="bottom"/>
          </w:tcPr>
          <w:p w:rsidR="00FD06F3" w:rsidRDefault="0054425B">
            <w:pPr>
              <w:pStyle w:val="Tablenumbers1"/>
              <w:tabs>
                <w:tab w:val="clear" w:pos="1503"/>
              </w:tabs>
              <w:ind w:left="-108" w:right="-108"/>
              <w:jc w:val="center"/>
              <w:rPr>
                <w:rFonts w:ascii="Times New Roman" w:hAnsi="Times New Roman"/>
                <w:szCs w:val="18"/>
              </w:rPr>
            </w:pPr>
            <w:r>
              <w:rPr>
                <w:rFonts w:ascii="Times New Roman" w:hAnsi="Times New Roman"/>
                <w:szCs w:val="18"/>
              </w:rPr>
              <w:t>10</w:t>
            </w:r>
          </w:p>
        </w:tc>
        <w:tc>
          <w:tcPr>
            <w:tcW w:w="1701" w:type="dxa"/>
            <w:tcBorders>
              <w:bottom w:val="single" w:sz="6" w:space="0" w:color="auto"/>
            </w:tcBorders>
            <w:tcMar>
              <w:top w:w="0" w:type="dxa"/>
              <w:left w:w="108" w:type="dxa"/>
              <w:bottom w:w="0" w:type="dxa"/>
              <w:right w:w="108" w:type="dxa"/>
            </w:tcMar>
            <w:vAlign w:val="bottom"/>
          </w:tcPr>
          <w:p w:rsidR="00FD06F3" w:rsidRDefault="0054425B">
            <w:pPr>
              <w:pStyle w:val="Tablenumbers1"/>
              <w:tabs>
                <w:tab w:val="clear" w:pos="1503"/>
                <w:tab w:val="decimal" w:pos="1247"/>
              </w:tabs>
              <w:ind w:left="-108" w:right="-57"/>
              <w:rPr>
                <w:rFonts w:ascii="Times New Roman" w:hAnsi="Times New Roman"/>
                <w:szCs w:val="18"/>
              </w:rPr>
            </w:pPr>
            <w:r>
              <w:rPr>
                <w:rFonts w:ascii="Times New Roman" w:hAnsi="Times New Roman"/>
                <w:szCs w:val="18"/>
              </w:rPr>
              <w:t>9 217 583</w:t>
            </w:r>
          </w:p>
        </w:tc>
        <w:tc>
          <w:tcPr>
            <w:tcW w:w="1701" w:type="dxa"/>
            <w:tcBorders>
              <w:bottom w:val="single" w:sz="6" w:space="0" w:color="auto"/>
            </w:tcBorders>
            <w:tcMar>
              <w:top w:w="0" w:type="dxa"/>
              <w:left w:w="108" w:type="dxa"/>
              <w:bottom w:w="0" w:type="dxa"/>
              <w:right w:w="108" w:type="dxa"/>
            </w:tcMar>
            <w:vAlign w:val="bottom"/>
          </w:tcPr>
          <w:p w:rsidR="00FD06F3" w:rsidRDefault="0054425B">
            <w:pPr>
              <w:pStyle w:val="Tablenumbers1"/>
              <w:tabs>
                <w:tab w:val="clear" w:pos="1503"/>
                <w:tab w:val="decimal" w:pos="1247"/>
              </w:tabs>
              <w:ind w:left="-108" w:right="-57"/>
              <w:rPr>
                <w:rFonts w:ascii="Times New Roman" w:hAnsi="Times New Roman"/>
                <w:szCs w:val="18"/>
              </w:rPr>
            </w:pPr>
            <w:r>
              <w:rPr>
                <w:rFonts w:ascii="Times New Roman" w:hAnsi="Times New Roman"/>
                <w:szCs w:val="18"/>
              </w:rPr>
              <w:t>9 217 583</w:t>
            </w:r>
          </w:p>
        </w:tc>
      </w:tr>
      <w:tr w:rsidR="00FD06F3">
        <w:trPr>
          <w:trHeight w:val="20"/>
          <w:jc w:val="center"/>
        </w:trPr>
        <w:tc>
          <w:tcPr>
            <w:tcW w:w="5443" w:type="dxa"/>
            <w:tcMar>
              <w:top w:w="0" w:type="dxa"/>
              <w:left w:w="108" w:type="dxa"/>
              <w:bottom w:w="0" w:type="dxa"/>
              <w:right w:w="108" w:type="dxa"/>
            </w:tcMar>
            <w:vAlign w:val="bottom"/>
          </w:tcPr>
          <w:p w:rsidR="00FD06F3" w:rsidRDefault="0054425B">
            <w:pPr>
              <w:pStyle w:val="Rowheader"/>
              <w:ind w:left="5" w:right="-108" w:hanging="113"/>
              <w:rPr>
                <w:rFonts w:ascii="Times New Roman" w:hAnsi="Times New Roman"/>
                <w:sz w:val="18"/>
                <w:szCs w:val="18"/>
              </w:rPr>
            </w:pPr>
            <w:r>
              <w:rPr>
                <w:rFonts w:ascii="Times New Roman" w:hAnsi="Times New Roman"/>
                <w:sz w:val="18"/>
                <w:szCs w:val="18"/>
              </w:rPr>
              <w:t xml:space="preserve">Прибыль на обыкновенную акцию, приходящиеся на акционеров материнской компании, базовые и разводненные (в российских рублях на акцию) </w:t>
            </w:r>
          </w:p>
        </w:tc>
        <w:tc>
          <w:tcPr>
            <w:tcW w:w="794" w:type="dxa"/>
            <w:tcMar>
              <w:top w:w="0" w:type="dxa"/>
              <w:left w:w="108" w:type="dxa"/>
              <w:bottom w:w="0" w:type="dxa"/>
              <w:right w:w="108" w:type="dxa"/>
            </w:tcMar>
            <w:vAlign w:val="bottom"/>
          </w:tcPr>
          <w:p w:rsidR="00FD06F3" w:rsidRDefault="00FD06F3">
            <w:pPr>
              <w:pStyle w:val="Tablenumbers1"/>
              <w:tabs>
                <w:tab w:val="clear" w:pos="1503"/>
              </w:tabs>
              <w:ind w:left="-108" w:right="-108"/>
              <w:jc w:val="center"/>
              <w:rPr>
                <w:rFonts w:ascii="Times New Roman" w:hAnsi="Times New Roman"/>
                <w:b/>
                <w:szCs w:val="18"/>
              </w:rPr>
            </w:pPr>
          </w:p>
        </w:tc>
        <w:tc>
          <w:tcPr>
            <w:tcW w:w="1701" w:type="dxa"/>
            <w:tcBorders>
              <w:top w:val="single" w:sz="6" w:space="0" w:color="auto"/>
              <w:bottom w:val="double" w:sz="6" w:space="0" w:color="auto"/>
            </w:tcBorders>
            <w:tcMar>
              <w:top w:w="0" w:type="dxa"/>
              <w:left w:w="108" w:type="dxa"/>
              <w:bottom w:w="0" w:type="dxa"/>
              <w:right w:w="108" w:type="dxa"/>
            </w:tcMar>
            <w:vAlign w:val="bottom"/>
          </w:tcPr>
          <w:p w:rsidR="00FD06F3" w:rsidRDefault="0054425B">
            <w:pPr>
              <w:pStyle w:val="Tablenumbers1"/>
              <w:tabs>
                <w:tab w:val="clear" w:pos="1503"/>
                <w:tab w:val="decimal" w:pos="921"/>
              </w:tabs>
              <w:ind w:left="-108" w:right="-57"/>
              <w:rPr>
                <w:rFonts w:ascii="Times New Roman" w:hAnsi="Times New Roman"/>
                <w:b/>
                <w:bCs/>
                <w:szCs w:val="18"/>
              </w:rPr>
            </w:pPr>
            <w:r>
              <w:rPr>
                <w:rFonts w:ascii="Times New Roman" w:hAnsi="Times New Roman"/>
                <w:b/>
                <w:bCs/>
                <w:szCs w:val="18"/>
              </w:rPr>
              <w:t>112,25</w:t>
            </w:r>
          </w:p>
        </w:tc>
        <w:tc>
          <w:tcPr>
            <w:tcW w:w="1701" w:type="dxa"/>
            <w:tcBorders>
              <w:top w:val="single" w:sz="6" w:space="0" w:color="auto"/>
              <w:bottom w:val="double" w:sz="6" w:space="0" w:color="auto"/>
            </w:tcBorders>
            <w:tcMar>
              <w:top w:w="0" w:type="dxa"/>
              <w:left w:w="108" w:type="dxa"/>
              <w:bottom w:w="0" w:type="dxa"/>
              <w:right w:w="108" w:type="dxa"/>
            </w:tcMar>
            <w:vAlign w:val="bottom"/>
          </w:tcPr>
          <w:p w:rsidR="00FD06F3" w:rsidRDefault="0054425B">
            <w:pPr>
              <w:pStyle w:val="Tablenumbers1"/>
              <w:tabs>
                <w:tab w:val="clear" w:pos="1503"/>
                <w:tab w:val="decimal" w:pos="921"/>
              </w:tabs>
              <w:ind w:left="-108" w:right="-57"/>
              <w:rPr>
                <w:rFonts w:ascii="Times New Roman" w:hAnsi="Times New Roman"/>
                <w:b/>
                <w:bCs/>
                <w:szCs w:val="18"/>
              </w:rPr>
            </w:pPr>
            <w:r>
              <w:rPr>
                <w:rFonts w:ascii="Times New Roman" w:hAnsi="Times New Roman"/>
                <w:b/>
                <w:bCs/>
                <w:szCs w:val="18"/>
              </w:rPr>
              <w:t>13,90</w:t>
            </w:r>
          </w:p>
        </w:tc>
      </w:tr>
    </w:tbl>
    <w:p w:rsidR="00FD06F3" w:rsidRDefault="00FD06F3"/>
    <w:p w:rsidR="00FD06F3" w:rsidRDefault="00FD06F3">
      <w:pPr>
        <w:widowControl w:val="0"/>
      </w:pPr>
    </w:p>
    <w:p w:rsidR="00FD06F3" w:rsidRDefault="0054425B">
      <w:pPr>
        <w:pStyle w:val="12"/>
      </w:pPr>
      <w:bookmarkStart w:id="201" w:name="_Toc387743919"/>
      <w:bookmarkStart w:id="202" w:name="_Toc387743947"/>
      <w:bookmarkStart w:id="203" w:name="_Toc512452535"/>
      <w:r>
        <w:t>23.</w:t>
      </w:r>
      <w:r>
        <w:tab/>
        <w:t>События после отчетной даты</w:t>
      </w:r>
      <w:bookmarkEnd w:id="201"/>
      <w:bookmarkEnd w:id="202"/>
      <w:bookmarkEnd w:id="203"/>
    </w:p>
    <w:p w:rsidR="00FD06F3" w:rsidRDefault="00FD06F3">
      <w:pPr>
        <w:widowControl w:val="0"/>
      </w:pPr>
    </w:p>
    <w:p w:rsidR="00FD06F3" w:rsidRDefault="0054425B">
      <w:pPr>
        <w:widowControl w:val="0"/>
      </w:pPr>
      <w:r>
        <w:t xml:space="preserve">В 2018 году ООО «Хелфи-Стиль» было ликвидировано с передачей его </w:t>
      </w:r>
      <w:r>
        <w:t>функций ОО «Гута-Клиник».</w:t>
      </w:r>
    </w:p>
    <w:p w:rsidR="00FD06F3" w:rsidRDefault="00FD06F3">
      <w:pPr>
        <w:widowControl w:val="0"/>
      </w:pPr>
    </w:p>
    <w:p w:rsidR="00FD06F3" w:rsidRDefault="0054425B">
      <w:pPr>
        <w:widowControl w:val="0"/>
      </w:pPr>
      <w:r>
        <w:t xml:space="preserve">Другие существенные события после отчетной даты отсутствуют. </w:t>
      </w:r>
    </w:p>
    <w:sectPr w:rsidR="00FD06F3">
      <w:pgSz w:w="11907" w:h="16840" w:code="9"/>
      <w:pgMar w:top="1134"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25B" w:rsidRDefault="0054425B">
      <w:r>
        <w:separator/>
      </w:r>
    </w:p>
  </w:endnote>
  <w:endnote w:type="continuationSeparator" w:id="0">
    <w:p w:rsidR="0054425B" w:rsidRDefault="00544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EYInterstate">
    <w:altName w:val="Corbel"/>
    <w:panose1 w:val="02000503020000020004"/>
    <w:charset w:val="CC"/>
    <w:family w:val="auto"/>
    <w:pitch w:val="variable"/>
    <w:sig w:usb0="A00002AF" w:usb1="5000206A"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EYInterstate Light">
    <w:altName w:val="Franklin Gothic Medium Cond"/>
    <w:panose1 w:val="02000506000000020004"/>
    <w:charset w:val="CC"/>
    <w:family w:val="auto"/>
    <w:pitch w:val="variable"/>
    <w:sig w:usb0="A00002AF" w:usb1="5000206A" w:usb2="00000000" w:usb3="00000000" w:csb0="0000009F" w:csb1="00000000"/>
  </w:font>
  <w:font w:name="Times">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 w:name="Univers 45 Light">
    <w:altName w:val="Times New Roman"/>
    <w:panose1 w:val="00000000000000000000"/>
    <w:charset w:val="00"/>
    <w:family w:val="auto"/>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6F3" w:rsidRDefault="00FD06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6F3" w:rsidRDefault="00FD06F3">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6F3" w:rsidRDefault="00FD06F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6F3" w:rsidRDefault="0054425B">
    <w:pPr>
      <w:pStyle w:val="Footer"/>
      <w:tabs>
        <w:tab w:val="clear" w:pos="4677"/>
        <w:tab w:val="clear" w:pos="9355"/>
        <w:tab w:val="right" w:pos="9197"/>
      </w:tabs>
      <w:jc w:val="right"/>
      <w:rPr>
        <w:rFonts w:ascii="EYInterstate Light" w:hAnsi="EYInterstate Light"/>
        <w:sz w:val="22"/>
        <w:szCs w:val="22"/>
      </w:rPr>
    </w:pPr>
    <w:r>
      <w:rPr>
        <w:rFonts w:ascii="EYInterstate Light" w:hAnsi="EYInterstate Light" w:cs="EYInterstate Light"/>
        <w:sz w:val="22"/>
        <w:szCs w:val="22"/>
      </w:rPr>
      <w:fldChar w:fldCharType="begin"/>
    </w:r>
    <w:r>
      <w:rPr>
        <w:rFonts w:ascii="EYInterstate Light" w:hAnsi="EYInterstate Light" w:cs="EYInterstate Light"/>
        <w:sz w:val="22"/>
        <w:szCs w:val="22"/>
      </w:rPr>
      <w:instrText xml:space="preserve"> PAGE   \* MERGEFORMAT </w:instrText>
    </w:r>
    <w:r>
      <w:rPr>
        <w:rFonts w:ascii="EYInterstate Light" w:hAnsi="EYInterstate Light" w:cs="EYInterstate Light"/>
        <w:sz w:val="22"/>
        <w:szCs w:val="22"/>
      </w:rPr>
      <w:fldChar w:fldCharType="separate"/>
    </w:r>
    <w:r w:rsidR="00AF4415">
      <w:rPr>
        <w:rFonts w:ascii="EYInterstate Light" w:hAnsi="EYInterstate Light" w:cs="EYInterstate Light"/>
        <w:noProof/>
        <w:sz w:val="22"/>
        <w:szCs w:val="22"/>
      </w:rPr>
      <w:t>2</w:t>
    </w:r>
    <w:r>
      <w:rPr>
        <w:rFonts w:ascii="EYInterstate Light" w:hAnsi="EYInterstate Light" w:cs="EYInterstate Light"/>
        <w:sz w:val="22"/>
        <w:szCs w:val="2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6F3" w:rsidRDefault="0054425B">
    <w:pPr>
      <w:pStyle w:val="Footer"/>
      <w:jc w:val="right"/>
    </w:pPr>
    <w:r>
      <w:rPr>
        <w:rFonts w:ascii="EYInterstate Light" w:hAnsi="EYInterstate Light"/>
        <w:sz w:val="22"/>
        <w:szCs w:val="22"/>
      </w:rPr>
      <w:fldChar w:fldCharType="begin"/>
    </w:r>
    <w:r>
      <w:rPr>
        <w:rFonts w:ascii="EYInterstate Light" w:hAnsi="EYInterstate Light"/>
        <w:sz w:val="22"/>
        <w:szCs w:val="22"/>
      </w:rPr>
      <w:instrText xml:space="preserve"> PAGE   \* MERGEFORMAT </w:instrText>
    </w:r>
    <w:r>
      <w:rPr>
        <w:rFonts w:ascii="EYInterstate Light" w:hAnsi="EYInterstate Light"/>
        <w:sz w:val="22"/>
        <w:szCs w:val="22"/>
      </w:rPr>
      <w:fldChar w:fldCharType="separate"/>
    </w:r>
    <w:r w:rsidR="00AF4415">
      <w:rPr>
        <w:rFonts w:ascii="EYInterstate Light" w:hAnsi="EYInterstate Light"/>
        <w:noProof/>
        <w:sz w:val="22"/>
        <w:szCs w:val="22"/>
      </w:rPr>
      <w:t>3</w:t>
    </w:r>
    <w:r>
      <w:rPr>
        <w:rFonts w:ascii="EYInterstate Light" w:hAnsi="EYInterstate Light"/>
        <w:sz w:val="22"/>
        <w:szCs w:val="22"/>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6F3" w:rsidRDefault="0054425B">
    <w:pPr>
      <w:pBdr>
        <w:top w:val="single" w:sz="6" w:space="1" w:color="auto"/>
      </w:pBdr>
      <w:jc w:val="center"/>
    </w:pPr>
    <w:r>
      <w:t xml:space="preserve">Прилагаемые примечания на стр. 12-40 являются неотъемлемой частью </w:t>
    </w:r>
    <w:r>
      <w:br/>
      <w:t>настоящей</w:t>
    </w:r>
    <w:r>
      <w:rPr>
        <w:lang w:val="en-US"/>
      </w:rPr>
      <w:t> </w:t>
    </w:r>
    <w:r>
      <w:t>консолидированной</w:t>
    </w:r>
    <w:r>
      <w:rPr>
        <w:lang w:val="en-US"/>
      </w:rPr>
      <w:t> </w:t>
    </w:r>
    <w:r>
      <w:t>финансовой отчетности.</w:t>
    </w:r>
  </w:p>
  <w:p w:rsidR="00FD06F3" w:rsidRDefault="0054425B">
    <w:pPr>
      <w:pBdr>
        <w:top w:val="single" w:sz="6" w:space="1" w:color="auto"/>
      </w:pBdr>
      <w:jc w:val="center"/>
    </w:pPr>
    <w:r>
      <w:fldChar w:fldCharType="begin"/>
    </w:r>
    <w:r>
      <w:instrText xml:space="preserve"> PAGE </w:instrText>
    </w:r>
    <w:r>
      <w:fldChar w:fldCharType="separate"/>
    </w:r>
    <w:r w:rsidR="00AF4415">
      <w:rPr>
        <w:noProof/>
      </w:rPr>
      <w:t>11</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6F3" w:rsidRDefault="0054425B">
    <w:pPr>
      <w:pStyle w:val="Footer"/>
      <w:jc w:val="center"/>
    </w:pPr>
    <w:r>
      <w:t>Прилагаемые примечания являются неотъемлемой частью настоящей консолидированной финансовой отчетности.</w:t>
    </w:r>
  </w:p>
  <w:p w:rsidR="00FD06F3" w:rsidRDefault="0054425B">
    <w:pPr>
      <w:pStyle w:val="Footer"/>
      <w:jc w:val="center"/>
    </w:pPr>
    <w:r>
      <w:fldChar w:fldCharType="begin"/>
    </w:r>
    <w:r>
      <w:instrText xml:space="preserve"> PAGE   \* MERGEFORMAT </w:instrText>
    </w:r>
    <w:r>
      <w:fldChar w:fldCharType="separate"/>
    </w:r>
    <w:r>
      <w:rPr>
        <w:noProof/>
      </w:rPr>
      <w:t>8</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6F3" w:rsidRDefault="0054425B">
    <w:pPr>
      <w:pBdr>
        <w:top w:val="single" w:sz="6" w:space="1" w:color="auto"/>
      </w:pBdr>
      <w:jc w:val="center"/>
    </w:pPr>
    <w:r>
      <w:fldChar w:fldCharType="begin"/>
    </w:r>
    <w:r>
      <w:instrText xml:space="preserve"> PAGE </w:instrText>
    </w:r>
    <w:r>
      <w:fldChar w:fldCharType="separate"/>
    </w:r>
    <w:r w:rsidR="00AF4415">
      <w:rPr>
        <w:noProof/>
      </w:rPr>
      <w:t>20</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6F3" w:rsidRDefault="0054425B">
    <w:pPr>
      <w:pStyle w:val="Footer"/>
      <w:pBdr>
        <w:top w:val="single" w:sz="4" w:space="1" w:color="auto"/>
      </w:pBdr>
      <w:jc w:val="center"/>
    </w:pPr>
    <w:r>
      <w:fldChar w:fldCharType="begin"/>
    </w:r>
    <w:r>
      <w:instrText xml:space="preserve"> PAGE   \* MERGEFORMAT </w:instrText>
    </w:r>
    <w:r>
      <w:fldChar w:fldCharType="separate"/>
    </w:r>
    <w:r>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25B" w:rsidRDefault="0054425B">
      <w:r>
        <w:separator/>
      </w:r>
    </w:p>
  </w:footnote>
  <w:footnote w:type="continuationSeparator" w:id="0">
    <w:p w:rsidR="0054425B" w:rsidRDefault="005442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6F3" w:rsidRDefault="00FD06F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6F3" w:rsidRDefault="0054425B">
    <w:pPr>
      <w:rPr>
        <w:b/>
        <w:bCs/>
      </w:rPr>
    </w:pPr>
    <w:r>
      <w:rPr>
        <w:b/>
        <w:bCs/>
      </w:rPr>
      <w:t>ПАО «Московская кондитерская фа</w:t>
    </w:r>
    <w:r>
      <w:rPr>
        <w:b/>
        <w:bCs/>
      </w:rPr>
      <w:t>брика «Красный октябрь»</w:t>
    </w:r>
  </w:p>
  <w:p w:rsidR="00FD06F3" w:rsidRDefault="0054425B">
    <w:pPr>
      <w:rPr>
        <w:b/>
        <w:bCs/>
      </w:rPr>
    </w:pPr>
    <w:r>
      <w:rPr>
        <w:b/>
        <w:bCs/>
      </w:rPr>
      <w:t>Консолидированная финансовая отчетность по МСФО за год, закончившийся 31 декабря 2017 г.</w:t>
    </w:r>
  </w:p>
  <w:p w:rsidR="00FD06F3" w:rsidRDefault="0054425B">
    <w:pPr>
      <w:pBdr>
        <w:bottom w:val="single" w:sz="6" w:space="1" w:color="auto"/>
      </w:pBdr>
      <w:rPr>
        <w:b/>
        <w:bCs/>
      </w:rPr>
    </w:pPr>
    <w:r>
      <w:rPr>
        <w:b/>
        <w:bCs/>
      </w:rPr>
      <w:t>(в тысячах российских рублей, если не указано иное)</w:t>
    </w:r>
  </w:p>
  <w:p w:rsidR="00FD06F3" w:rsidRDefault="00FD06F3"/>
  <w:p w:rsidR="00FD06F3" w:rsidRDefault="00FD06F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6F3" w:rsidRDefault="0054425B">
    <w:pPr>
      <w:rPr>
        <w:b/>
        <w:bCs/>
      </w:rPr>
    </w:pPr>
    <w:r>
      <w:rPr>
        <w:b/>
        <w:bCs/>
      </w:rPr>
      <w:t>ОАО "Красный Октябрь"</w:t>
    </w:r>
  </w:p>
  <w:p w:rsidR="00FD06F3" w:rsidRDefault="0054425B">
    <w:pPr>
      <w:rPr>
        <w:b/>
        <w:bCs/>
        <w:spacing w:val="-2"/>
      </w:rPr>
    </w:pPr>
    <w:r>
      <w:rPr>
        <w:b/>
        <w:bCs/>
        <w:spacing w:val="-2"/>
      </w:rPr>
      <w:t>Консолидированная финансовая отчетность по МСФО за год,</w:t>
    </w:r>
    <w:r>
      <w:rPr>
        <w:b/>
        <w:bCs/>
        <w:spacing w:val="-2"/>
      </w:rPr>
      <w:t xml:space="preserve"> закончившийся 31 декабря 2014 года</w:t>
    </w:r>
  </w:p>
  <w:p w:rsidR="00FD06F3" w:rsidRDefault="0054425B">
    <w:pPr>
      <w:pBdr>
        <w:bottom w:val="single" w:sz="4" w:space="1" w:color="auto"/>
      </w:pBdr>
      <w:rPr>
        <w:b/>
        <w:bCs/>
        <w:spacing w:val="-2"/>
      </w:rPr>
    </w:pPr>
    <w:r>
      <w:rPr>
        <w:b/>
        <w:bCs/>
        <w:spacing w:val="-2"/>
      </w:rPr>
      <w:t>(в тысячах российских рублей, если не указано иное)</w:t>
    </w:r>
  </w:p>
  <w:p w:rsidR="00FD06F3" w:rsidRDefault="00FD06F3">
    <w:pPr>
      <w:rPr>
        <w:spacing w:val="-2"/>
      </w:rPr>
    </w:pPr>
  </w:p>
  <w:p w:rsidR="00FD06F3" w:rsidRDefault="00FD06F3">
    <w:pPr>
      <w:rPr>
        <w:spacing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6F3" w:rsidRDefault="00FD06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6F3" w:rsidRDefault="00FD06F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56" w:type="dxa"/>
      <w:jc w:val="center"/>
      <w:tblLayout w:type="fixed"/>
      <w:tblLook w:val="0000" w:firstRow="0" w:lastRow="0" w:firstColumn="0" w:lastColumn="0" w:noHBand="0" w:noVBand="0"/>
    </w:tblPr>
    <w:tblGrid>
      <w:gridCol w:w="9356"/>
    </w:tblGrid>
    <w:tr w:rsidR="00FD06F3">
      <w:trPr>
        <w:cantSplit/>
        <w:jc w:val="center"/>
      </w:trPr>
      <w:tc>
        <w:tcPr>
          <w:tcW w:w="9638" w:type="dxa"/>
        </w:tcPr>
        <w:p w:rsidR="00FD06F3" w:rsidRDefault="0054425B">
          <w:pPr>
            <w:overflowPunct w:val="0"/>
            <w:autoSpaceDE w:val="0"/>
            <w:autoSpaceDN w:val="0"/>
            <w:adjustRightInd w:val="0"/>
            <w:jc w:val="center"/>
            <w:textAlignment w:val="baseline"/>
            <w:rPr>
              <w:rFonts w:ascii="EYInterstate" w:hAnsi="EYInterstate"/>
              <w:b/>
              <w:sz w:val="26"/>
              <w:szCs w:val="26"/>
              <w:lang w:eastAsia="en-US"/>
            </w:rPr>
          </w:pPr>
          <w:r>
            <w:rPr>
              <w:rFonts w:ascii="EYInterstate" w:hAnsi="EYInterstate"/>
              <w:b/>
              <w:sz w:val="26"/>
              <w:szCs w:val="26"/>
              <w:lang w:eastAsia="en-US"/>
            </w:rPr>
            <w:t xml:space="preserve">Аудиторское заключение </w:t>
          </w:r>
        </w:p>
        <w:p w:rsidR="00FD06F3" w:rsidRDefault="0054425B">
          <w:pPr>
            <w:overflowPunct w:val="0"/>
            <w:autoSpaceDE w:val="0"/>
            <w:autoSpaceDN w:val="0"/>
            <w:adjustRightInd w:val="0"/>
            <w:jc w:val="center"/>
            <w:textAlignment w:val="baseline"/>
            <w:rPr>
              <w:rFonts w:ascii="EYInterstate" w:hAnsi="EYInterstate"/>
              <w:b/>
              <w:sz w:val="26"/>
              <w:szCs w:val="26"/>
              <w:lang w:eastAsia="en-US"/>
            </w:rPr>
          </w:pPr>
          <w:r>
            <w:rPr>
              <w:rFonts w:ascii="EYInterstate" w:hAnsi="EYInterstate"/>
              <w:b/>
              <w:sz w:val="26"/>
              <w:szCs w:val="26"/>
              <w:lang w:eastAsia="en-US"/>
            </w:rPr>
            <w:t>независимого аудитора</w:t>
          </w:r>
        </w:p>
        <w:p w:rsidR="00FD06F3" w:rsidRDefault="0054425B">
          <w:pPr>
            <w:overflowPunct w:val="0"/>
            <w:autoSpaceDE w:val="0"/>
            <w:autoSpaceDN w:val="0"/>
            <w:adjustRightInd w:val="0"/>
            <w:jc w:val="center"/>
            <w:textAlignment w:val="baseline"/>
            <w:rPr>
              <w:rFonts w:ascii="EYInterstate" w:hAnsi="EYInterstate"/>
              <w:b/>
              <w:sz w:val="26"/>
              <w:szCs w:val="26"/>
              <w:lang w:eastAsia="en-US"/>
            </w:rPr>
          </w:pPr>
          <w:r>
            <w:rPr>
              <w:rFonts w:ascii="EYInterstate" w:hAnsi="EYInterstate"/>
              <w:b/>
              <w:sz w:val="26"/>
              <w:szCs w:val="26"/>
              <w:lang w:eastAsia="en-US"/>
            </w:rPr>
            <w:t xml:space="preserve">о консолидированной финансовой отчетности </w:t>
          </w:r>
        </w:p>
        <w:p w:rsidR="00FD06F3" w:rsidRDefault="0054425B">
          <w:pPr>
            <w:pStyle w:val="Header"/>
            <w:jc w:val="center"/>
            <w:rPr>
              <w:rFonts w:ascii="EYInterstate" w:hAnsi="EYInterstate" w:cs="EYInterstate"/>
              <w:b/>
              <w:bCs/>
              <w:sz w:val="26"/>
              <w:szCs w:val="26"/>
            </w:rPr>
          </w:pPr>
          <w:r>
            <w:rPr>
              <w:rFonts w:ascii="EYInterstate" w:hAnsi="EYInterstate"/>
              <w:b/>
              <w:sz w:val="26"/>
              <w:szCs w:val="26"/>
              <w:lang w:eastAsia="en-US"/>
            </w:rPr>
            <w:t xml:space="preserve">ПАО «Московская кондитерская фабрика «Красный Октябрь» </w:t>
          </w:r>
          <w:r>
            <w:rPr>
              <w:rFonts w:ascii="EYInterstate" w:hAnsi="EYInterstate"/>
              <w:b/>
              <w:sz w:val="26"/>
              <w:szCs w:val="26"/>
              <w:lang w:eastAsia="en-US"/>
            </w:rPr>
            <w:br/>
            <w:t>и его дочерних организаций</w:t>
          </w:r>
        </w:p>
      </w:tc>
    </w:tr>
    <w:tr w:rsidR="00FD06F3">
      <w:trPr>
        <w:cantSplit/>
        <w:jc w:val="center"/>
      </w:trPr>
      <w:tc>
        <w:tcPr>
          <w:tcW w:w="9638" w:type="dxa"/>
          <w:tcBorders>
            <w:top w:val="single" w:sz="6" w:space="0" w:color="auto"/>
          </w:tcBorders>
        </w:tcPr>
        <w:p w:rsidR="00FD06F3" w:rsidRDefault="00FD06F3">
          <w:pPr>
            <w:pStyle w:val="Header"/>
            <w:rPr>
              <w:sz w:val="26"/>
              <w:szCs w:val="26"/>
            </w:rPr>
          </w:pPr>
        </w:p>
      </w:tc>
    </w:tr>
  </w:tbl>
  <w:p w:rsidR="00FD06F3" w:rsidRDefault="00FD06F3">
    <w:pPr>
      <w:pStyle w:val="Header"/>
      <w:rPr>
        <w:sz w:val="26"/>
        <w:szCs w:val="2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6F3" w:rsidRDefault="0054425B">
    <w:pPr>
      <w:pStyle w:val="Header"/>
    </w:pPr>
    <w:r>
      <w:rPr>
        <w:noProof/>
        <w:lang w:val="en-US" w:eastAsia="en-US"/>
      </w:rPr>
      <mc:AlternateContent>
        <mc:Choice Requires="wpg">
          <w:drawing>
            <wp:anchor distT="0" distB="0" distL="114300" distR="114300" simplePos="0" relativeHeight="251661312" behindDoc="0" locked="0" layoutInCell="1" allowOverlap="1">
              <wp:simplePos x="0" y="0"/>
              <wp:positionH relativeFrom="column">
                <wp:posOffset>12065</wp:posOffset>
              </wp:positionH>
              <wp:positionV relativeFrom="paragraph">
                <wp:posOffset>-164465</wp:posOffset>
              </wp:positionV>
              <wp:extent cx="5610225" cy="10153650"/>
              <wp:effectExtent l="0" t="0" r="9525" b="0"/>
              <wp:wrapNone/>
              <wp:docPr id="1" name="Group 1"/>
              <wp:cNvGraphicFramePr/>
              <a:graphic xmlns:a="http://schemas.openxmlformats.org/drawingml/2006/main">
                <a:graphicData uri="http://schemas.microsoft.com/office/word/2010/wordprocessingGroup">
                  <wpg:wgp>
                    <wpg:cNvGrpSpPr/>
                    <wpg:grpSpPr>
                      <a:xfrm>
                        <a:off x="0" y="0"/>
                        <a:ext cx="5610225" cy="10153650"/>
                        <a:chOff x="0" y="0"/>
                        <a:chExt cx="5610225" cy="10153650"/>
                      </a:xfrm>
                    </wpg:grpSpPr>
                    <wpg:grpSp>
                      <wpg:cNvPr id="2" name="Group 2"/>
                      <wpg:cNvGrpSpPr/>
                      <wpg:grpSpPr>
                        <a:xfrm>
                          <a:off x="0" y="0"/>
                          <a:ext cx="5610225" cy="1374775"/>
                          <a:chOff x="0" y="0"/>
                          <a:chExt cx="5610225" cy="1374775"/>
                        </a:xfrm>
                      </wpg:grpSpPr>
                      <wps:wsp>
                        <wps:cNvPr id="3" name="Text Box 3"/>
                        <wps:cNvSpPr txBox="1">
                          <a:spLocks noChangeArrowheads="1"/>
                        </wps:cNvSpPr>
                        <wps:spPr bwMode="auto">
                          <a:xfrm>
                            <a:off x="1647825" y="295275"/>
                            <a:ext cx="3962400" cy="1079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4A0" w:firstRow="1" w:lastRow="0" w:firstColumn="1" w:lastColumn="0" w:noHBand="0" w:noVBand="1"/>
                              </w:tblPr>
                              <w:tblGrid>
                                <w:gridCol w:w="2268"/>
                                <w:gridCol w:w="284"/>
                                <w:gridCol w:w="2551"/>
                              </w:tblGrid>
                              <w:tr w:rsidR="00FD06F3">
                                <w:tc>
                                  <w:tcPr>
                                    <w:tcW w:w="2268" w:type="dxa"/>
                                    <w:shd w:val="clear" w:color="auto" w:fill="auto"/>
                                  </w:tcPr>
                                  <w:tbl>
                                    <w:tblPr>
                                      <w:tblW w:w="2552" w:type="dxa"/>
                                      <w:tblLayout w:type="fixed"/>
                                      <w:tblLook w:val="01E0" w:firstRow="1" w:lastRow="1" w:firstColumn="1" w:lastColumn="1" w:noHBand="0" w:noVBand="0"/>
                                    </w:tblPr>
                                    <w:tblGrid>
                                      <w:gridCol w:w="2552"/>
                                    </w:tblGrid>
                                    <w:tr w:rsidR="00FD06F3" w:rsidRPr="00AF4415">
                                      <w:tc>
                                        <w:tcPr>
                                          <w:tcW w:w="2552" w:type="dxa"/>
                                          <w:shd w:val="clear" w:color="auto" w:fill="auto"/>
                                          <w:tcMar>
                                            <w:left w:w="0" w:type="dxa"/>
                                            <w:right w:w="0" w:type="dxa"/>
                                          </w:tcMar>
                                        </w:tcPr>
                                        <w:p w:rsidR="00FD06F3" w:rsidRDefault="0054425B">
                                          <w:pPr>
                                            <w:pStyle w:val="Legalentityname"/>
                                            <w:rPr>
                                              <w:b w:val="0"/>
                                            </w:rPr>
                                          </w:pPr>
                                          <w:r>
                                            <w:rPr>
                                              <w:b w:val="0"/>
                                            </w:rPr>
                                            <w:t>Ernst &amp; Young LLC</w:t>
                                          </w:r>
                                        </w:p>
                                        <w:p w:rsidR="00FD06F3" w:rsidRDefault="0054425B">
                                          <w:pPr>
                                            <w:pStyle w:val="address"/>
                                            <w:rPr>
                                              <w:lang w:val="en-US"/>
                                            </w:rPr>
                                          </w:pPr>
                                          <w:r>
                                            <w:rPr>
                                              <w:lang w:val="en-US"/>
                                            </w:rPr>
                                            <w:t>Sadovnicheskaya Nab., 77, bld. 1</w:t>
                                          </w:r>
                                          <w:r>
                                            <w:rPr>
                                              <w:lang w:val="en-US"/>
                                            </w:rPr>
                                            <w:br/>
                                            <w:t>Moscow, 115035, Russia</w:t>
                                          </w:r>
                                        </w:p>
                                        <w:p w:rsidR="00FD06F3" w:rsidRDefault="0054425B">
                                          <w:pPr>
                                            <w:pStyle w:val="address"/>
                                            <w:tabs>
                                              <w:tab w:val="left" w:pos="350"/>
                                            </w:tabs>
                                            <w:rPr>
                                              <w:lang w:val="en-US"/>
                                            </w:rPr>
                                          </w:pPr>
                                          <w:r>
                                            <w:rPr>
                                              <w:lang w:val="en-US"/>
                                            </w:rPr>
                                            <w:t>Tel:</w:t>
                                          </w:r>
                                          <w:r>
                                            <w:rPr>
                                              <w:lang w:val="en-US"/>
                                            </w:rPr>
                                            <w:tab/>
                                            <w:t>+7 (495) 705 9700</w:t>
                                          </w:r>
                                          <w:r>
                                            <w:rPr>
                                              <w:lang w:val="en-US"/>
                                            </w:rPr>
                                            <w:br/>
                                          </w:r>
                                          <w:r>
                                            <w:rPr>
                                              <w:lang w:val="en-US"/>
                                            </w:rPr>
                                            <w:tab/>
                                            <w:t>+7 (495) 755 9700</w:t>
                                          </w:r>
                                          <w:r>
                                            <w:rPr>
                                              <w:lang w:val="en-US"/>
                                            </w:rPr>
                                            <w:br/>
                                            <w:t>Fax:</w:t>
                                          </w:r>
                                          <w:r>
                                            <w:rPr>
                                              <w:lang w:val="en-US"/>
                                            </w:rPr>
                                            <w:tab/>
                                            <w:t>+7 (495) 755 9701</w:t>
                                          </w:r>
                                          <w:r>
                                            <w:rPr>
                                              <w:lang w:val="en-US"/>
                                            </w:rPr>
                                            <w:br/>
                                          </w:r>
                                          <w:hyperlink r:id="rId1" w:history="1">
                                            <w:r>
                                              <w:rPr>
                                                <w:lang w:val="en-US"/>
                                              </w:rPr>
                                              <w:t>www.ey.com/ru</w:t>
                                            </w:r>
                                          </w:hyperlink>
                                        </w:p>
                                      </w:tc>
                                    </w:tr>
                                    <w:tr w:rsidR="00FD06F3" w:rsidRPr="00AF4415">
                                      <w:trPr>
                                        <w:trHeight w:hRule="exact" w:val="80"/>
                                      </w:trPr>
                                      <w:tc>
                                        <w:tcPr>
                                          <w:tcW w:w="2552" w:type="dxa"/>
                                          <w:shd w:val="clear" w:color="auto" w:fill="auto"/>
                                          <w:tcMar>
                                            <w:left w:w="0" w:type="dxa"/>
                                            <w:right w:w="0" w:type="dxa"/>
                                          </w:tcMar>
                                        </w:tcPr>
                                        <w:p w:rsidR="00FD06F3" w:rsidRDefault="00FD06F3">
                                          <w:pPr>
                                            <w:pStyle w:val="EYBusinessaddress"/>
                                            <w:rPr>
                                              <w:lang w:val="en-US"/>
                                            </w:rPr>
                                          </w:pPr>
                                        </w:p>
                                      </w:tc>
                                    </w:tr>
                                  </w:tbl>
                                  <w:p w:rsidR="00FD06F3" w:rsidRDefault="00FD06F3">
                                    <w:pPr>
                                      <w:pStyle w:val="address"/>
                                      <w:tabs>
                                        <w:tab w:val="left" w:pos="426"/>
                                      </w:tabs>
                                      <w:rPr>
                                        <w:lang w:val="en-US"/>
                                      </w:rPr>
                                    </w:pPr>
                                  </w:p>
                                </w:tc>
                                <w:tc>
                                  <w:tcPr>
                                    <w:tcW w:w="284" w:type="dxa"/>
                                    <w:shd w:val="clear" w:color="auto" w:fill="auto"/>
                                  </w:tcPr>
                                  <w:p w:rsidR="00FD06F3" w:rsidRDefault="00FD06F3">
                                    <w:pPr>
                                      <w:pStyle w:val="EYBusinessaddress"/>
                                      <w:rPr>
                                        <w:lang w:val="en-US"/>
                                      </w:rPr>
                                    </w:pPr>
                                  </w:p>
                                </w:tc>
                                <w:tc>
                                  <w:tcPr>
                                    <w:tcW w:w="2551" w:type="dxa"/>
                                    <w:shd w:val="clear" w:color="auto" w:fill="auto"/>
                                  </w:tcPr>
                                  <w:tbl>
                                    <w:tblPr>
                                      <w:tblW w:w="0" w:type="auto"/>
                                      <w:tblLayout w:type="fixed"/>
                                      <w:tblLook w:val="01E0" w:firstRow="1" w:lastRow="1" w:firstColumn="1" w:lastColumn="1" w:noHBand="0" w:noVBand="0"/>
                                    </w:tblPr>
                                    <w:tblGrid>
                                      <w:gridCol w:w="2715"/>
                                    </w:tblGrid>
                                    <w:tr w:rsidR="00FD06F3">
                                      <w:tc>
                                        <w:tcPr>
                                          <w:tcW w:w="2715" w:type="dxa"/>
                                          <w:shd w:val="clear" w:color="auto" w:fill="auto"/>
                                          <w:tcMar>
                                            <w:left w:w="0" w:type="dxa"/>
                                            <w:right w:w="0" w:type="dxa"/>
                                          </w:tcMar>
                                        </w:tcPr>
                                        <w:p w:rsidR="00FD06F3" w:rsidRDefault="0054425B">
                                          <w:pPr>
                                            <w:pStyle w:val="Legalentityname"/>
                                            <w:rPr>
                                              <w:b w:val="0"/>
                                              <w:lang w:val="ru-RU"/>
                                            </w:rPr>
                                          </w:pPr>
                                          <w:r>
                                            <w:rPr>
                                              <w:b w:val="0"/>
                                              <w:lang w:val="ru-RU"/>
                                            </w:rPr>
                                            <w:t>ООО «Эрнст энд Янг»</w:t>
                                          </w:r>
                                        </w:p>
                                        <w:p w:rsidR="00FD06F3" w:rsidRDefault="0054425B">
                                          <w:pPr>
                                            <w:pStyle w:val="address"/>
                                          </w:pPr>
                                          <w:r>
                                            <w:t xml:space="preserve">Россия, 115035, Москва </w:t>
                                          </w:r>
                                          <w:r>
                                            <w:br/>
                                            <w:t>Садовническая наб., 77, стр. 1</w:t>
                                          </w:r>
                                        </w:p>
                                        <w:p w:rsidR="00FD06F3" w:rsidRDefault="0054425B">
                                          <w:pPr>
                                            <w:pStyle w:val="address"/>
                                            <w:tabs>
                                              <w:tab w:val="left" w:pos="518"/>
                                            </w:tabs>
                                            <w:rPr>
                                              <w:lang w:val="en-US"/>
                                            </w:rPr>
                                          </w:pPr>
                                          <w:r>
                                            <w:t>Тел.:</w:t>
                                          </w:r>
                                          <w:r>
                                            <w:tab/>
                                            <w:t>+7 (495) 705 9700</w:t>
                                          </w:r>
                                          <w:r>
                                            <w:br/>
                                          </w:r>
                                          <w:r>
                                            <w:tab/>
                                            <w:t>+7 (495) 755 9700</w:t>
                                          </w:r>
                                          <w:r>
                                            <w:br/>
                                            <w:t>Факс:</w:t>
                                          </w:r>
                                          <w:r>
                                            <w:tab/>
                                            <w:t>+7 (495) 755 9701</w:t>
                                          </w:r>
                                          <w:r>
                                            <w:br/>
                                            <w:t>ОКПО:</w:t>
                                          </w:r>
                                          <w:r>
                                            <w:tab/>
                                            <w:t>59002827</w:t>
                                          </w:r>
                                        </w:p>
                                      </w:tc>
                                    </w:tr>
                                    <w:tr w:rsidR="00FD06F3">
                                      <w:trPr>
                                        <w:trHeight w:hRule="exact" w:val="80"/>
                                      </w:trPr>
                                      <w:tc>
                                        <w:tcPr>
                                          <w:tcW w:w="2715" w:type="dxa"/>
                                          <w:shd w:val="clear" w:color="auto" w:fill="auto"/>
                                          <w:tcMar>
                                            <w:left w:w="0" w:type="dxa"/>
                                            <w:right w:w="0" w:type="dxa"/>
                                          </w:tcMar>
                                        </w:tcPr>
                                        <w:p w:rsidR="00FD06F3" w:rsidRDefault="00FD06F3">
                                          <w:pPr>
                                            <w:pStyle w:val="EYBusinessaddress"/>
                                          </w:pPr>
                                        </w:p>
                                      </w:tc>
                                    </w:tr>
                                  </w:tbl>
                                  <w:p w:rsidR="00FD06F3" w:rsidRDefault="00FD06F3">
                                    <w:pPr>
                                      <w:pStyle w:val="address"/>
                                      <w:tabs>
                                        <w:tab w:val="left" w:pos="567"/>
                                      </w:tabs>
                                    </w:pPr>
                                  </w:p>
                                  <w:p w:rsidR="00FD06F3" w:rsidRDefault="00FD06F3">
                                    <w:pPr>
                                      <w:pStyle w:val="EYBusinessaddress"/>
                                    </w:pPr>
                                  </w:p>
                                </w:tc>
                              </w:tr>
                            </w:tbl>
                            <w:p w:rsidR="00FD06F3" w:rsidRDefault="00FD06F3">
                              <w:pPr>
                                <w:pStyle w:val="EYBusinessaddress"/>
                              </w:pPr>
                            </w:p>
                          </w:txbxContent>
                        </wps:txbx>
                        <wps:bodyPr rot="0" vert="horz" wrap="square" lIns="0" tIns="0" rIns="0" bIns="0" anchor="t" anchorCtr="0" upright="1">
                          <a:noAutofit/>
                        </wps:bodyPr>
                      </wps:wsp>
                      <pic:pic xmlns:pic="http://schemas.openxmlformats.org/drawingml/2006/picture">
                        <pic:nvPicPr>
                          <pic:cNvPr id="4" name="Picture 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09675" cy="923925"/>
                          </a:xfrm>
                          <a:prstGeom prst="rect">
                            <a:avLst/>
                          </a:prstGeom>
                        </pic:spPr>
                      </pic:pic>
                    </wpg:grpSp>
                    <wps:wsp>
                      <wps:cNvPr id="5" name="Text Box 5"/>
                      <wps:cNvSpPr txBox="1">
                        <a:spLocks noChangeArrowheads="1"/>
                      </wps:cNvSpPr>
                      <wps:spPr bwMode="auto">
                        <a:xfrm>
                          <a:off x="0" y="10039350"/>
                          <a:ext cx="17145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06F3" w:rsidRDefault="0054425B">
                            <w:pPr>
                              <w:pStyle w:val="EYFooterinfo"/>
                              <w:rPr>
                                <w:lang w:val="en-US"/>
                              </w:rPr>
                            </w:pPr>
                            <w:r>
                              <w:rPr>
                                <w:lang w:val="en-US"/>
                              </w:rPr>
                              <w:t>A member firm of Ernst &amp; Young Global Limited</w:t>
                            </w:r>
                          </w:p>
                        </w:txbxContent>
                      </wps:txbx>
                      <wps:bodyPr rot="0" vert="horz" wrap="square" lIns="0" tIns="0" rIns="0" bIns="0" anchor="t" anchorCtr="0" upright="1">
                        <a:noAutofit/>
                      </wps:bodyPr>
                    </wps:wsp>
                  </wpg:wgp>
                </a:graphicData>
              </a:graphic>
            </wp:anchor>
          </w:drawing>
        </mc:Choice>
        <mc:Fallback>
          <w:pict>
            <v:group id="Group 1" o:spid="_x0000_s1026" style="position:absolute;left:0;text-align:left;margin-left:.95pt;margin-top:-12.95pt;width:441.75pt;height:799.5pt;z-index:251661312" coordsize="56102,101536"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">
              <v:group id="Group 2" o:spid="_x0000_s1027" style="position:absolute;width:56102;height:13747" coordsize="56102,13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202" coordsize="21600,21600" o:spt="202" path="m,l,21600r21600,l21600,xe">
                  <v:stroke joinstyle="miter"/>
                  <v:path gradientshapeok="t" o:connecttype="rect"/>
                </v:shapetype>
                <v:shape id="Text Box 3" o:spid="_x0000_s1028" type="#_x0000_t202" style="position:absolute;left:16478;top:2952;width:39624;height:107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tbl>
                        <w:tblPr>
                          <w:tblW w:w="0" w:type="auto"/>
                          <w:tblLayout w:type="fixed"/>
                          <w:tblCellMar>
                            <w:left w:w="0" w:type="dxa"/>
                            <w:right w:w="0" w:type="dxa"/>
                          </w:tblCellMar>
                          <w:tblLook w:val="04A0" w:firstRow="1" w:lastRow="0" w:firstColumn="1" w:lastColumn="0" w:noHBand="0" w:noVBand="1"/>
                        </w:tblPr>
                        <w:tblGrid>
                          <w:gridCol w:w="2268"/>
                          <w:gridCol w:w="284"/>
                          <w:gridCol w:w="2551"/>
                        </w:tblGrid>
                        <w:tr w:rsidR="00FD06F3">
                          <w:tc>
                            <w:tcPr>
                              <w:tcW w:w="2268" w:type="dxa"/>
                              <w:shd w:val="clear" w:color="auto" w:fill="auto"/>
                            </w:tcPr>
                            <w:tbl>
                              <w:tblPr>
                                <w:tblW w:w="2552" w:type="dxa"/>
                                <w:tblLayout w:type="fixed"/>
                                <w:tblLook w:val="01E0" w:firstRow="1" w:lastRow="1" w:firstColumn="1" w:lastColumn="1" w:noHBand="0" w:noVBand="0"/>
                              </w:tblPr>
                              <w:tblGrid>
                                <w:gridCol w:w="2552"/>
                              </w:tblGrid>
                              <w:tr w:rsidR="00FD06F3" w:rsidRPr="00AF4415">
                                <w:tc>
                                  <w:tcPr>
                                    <w:tcW w:w="2552" w:type="dxa"/>
                                    <w:shd w:val="clear" w:color="auto" w:fill="auto"/>
                                    <w:tcMar>
                                      <w:left w:w="0" w:type="dxa"/>
                                      <w:right w:w="0" w:type="dxa"/>
                                    </w:tcMar>
                                  </w:tcPr>
                                  <w:p w:rsidR="00FD06F3" w:rsidRDefault="0054425B">
                                    <w:pPr>
                                      <w:pStyle w:val="Legalentityname"/>
                                      <w:rPr>
                                        <w:b w:val="0"/>
                                      </w:rPr>
                                    </w:pPr>
                                    <w:r>
                                      <w:rPr>
                                        <w:b w:val="0"/>
                                      </w:rPr>
                                      <w:t>Ernst &amp; Young LLC</w:t>
                                    </w:r>
                                  </w:p>
                                  <w:p w:rsidR="00FD06F3" w:rsidRDefault="0054425B">
                                    <w:pPr>
                                      <w:pStyle w:val="address"/>
                                      <w:rPr>
                                        <w:lang w:val="en-US"/>
                                      </w:rPr>
                                    </w:pPr>
                                    <w:r>
                                      <w:rPr>
                                        <w:lang w:val="en-US"/>
                                      </w:rPr>
                                      <w:t>Sadovnicheskaya Nab., 77, bld. 1</w:t>
                                    </w:r>
                                    <w:r>
                                      <w:rPr>
                                        <w:lang w:val="en-US"/>
                                      </w:rPr>
                                      <w:br/>
                                      <w:t>Moscow, 115035, Russia</w:t>
                                    </w:r>
                                  </w:p>
                                  <w:p w:rsidR="00FD06F3" w:rsidRDefault="0054425B">
                                    <w:pPr>
                                      <w:pStyle w:val="address"/>
                                      <w:tabs>
                                        <w:tab w:val="left" w:pos="350"/>
                                      </w:tabs>
                                      <w:rPr>
                                        <w:lang w:val="en-US"/>
                                      </w:rPr>
                                    </w:pPr>
                                    <w:r>
                                      <w:rPr>
                                        <w:lang w:val="en-US"/>
                                      </w:rPr>
                                      <w:t>Tel:</w:t>
                                    </w:r>
                                    <w:r>
                                      <w:rPr>
                                        <w:lang w:val="en-US"/>
                                      </w:rPr>
                                      <w:tab/>
                                      <w:t>+7 (495) 705 9700</w:t>
                                    </w:r>
                                    <w:r>
                                      <w:rPr>
                                        <w:lang w:val="en-US"/>
                                      </w:rPr>
                                      <w:br/>
                                    </w:r>
                                    <w:r>
                                      <w:rPr>
                                        <w:lang w:val="en-US"/>
                                      </w:rPr>
                                      <w:tab/>
                                      <w:t>+7 (495) 755 9700</w:t>
                                    </w:r>
                                    <w:r>
                                      <w:rPr>
                                        <w:lang w:val="en-US"/>
                                      </w:rPr>
                                      <w:br/>
                                      <w:t>Fax:</w:t>
                                    </w:r>
                                    <w:r>
                                      <w:rPr>
                                        <w:lang w:val="en-US"/>
                                      </w:rPr>
                                      <w:tab/>
                                      <w:t>+7 (495) 755 9701</w:t>
                                    </w:r>
                                    <w:r>
                                      <w:rPr>
                                        <w:lang w:val="en-US"/>
                                      </w:rPr>
                                      <w:br/>
                                    </w:r>
                                    <w:hyperlink r:id="rId3" w:history="1">
                                      <w:r>
                                        <w:rPr>
                                          <w:lang w:val="en-US"/>
                                        </w:rPr>
                                        <w:t>www.ey.com/ru</w:t>
                                      </w:r>
                                    </w:hyperlink>
                                  </w:p>
                                </w:tc>
                              </w:tr>
                              <w:tr w:rsidR="00FD06F3" w:rsidRPr="00AF4415">
                                <w:trPr>
                                  <w:trHeight w:hRule="exact" w:val="80"/>
                                </w:trPr>
                                <w:tc>
                                  <w:tcPr>
                                    <w:tcW w:w="2552" w:type="dxa"/>
                                    <w:shd w:val="clear" w:color="auto" w:fill="auto"/>
                                    <w:tcMar>
                                      <w:left w:w="0" w:type="dxa"/>
                                      <w:right w:w="0" w:type="dxa"/>
                                    </w:tcMar>
                                  </w:tcPr>
                                  <w:p w:rsidR="00FD06F3" w:rsidRDefault="00FD06F3">
                                    <w:pPr>
                                      <w:pStyle w:val="EYBusinessaddress"/>
                                      <w:rPr>
                                        <w:lang w:val="en-US"/>
                                      </w:rPr>
                                    </w:pPr>
                                  </w:p>
                                </w:tc>
                              </w:tr>
                            </w:tbl>
                            <w:p w:rsidR="00FD06F3" w:rsidRDefault="00FD06F3">
                              <w:pPr>
                                <w:pStyle w:val="address"/>
                                <w:tabs>
                                  <w:tab w:val="left" w:pos="426"/>
                                </w:tabs>
                                <w:rPr>
                                  <w:lang w:val="en-US"/>
                                </w:rPr>
                              </w:pPr>
                            </w:p>
                          </w:tc>
                          <w:tc>
                            <w:tcPr>
                              <w:tcW w:w="284" w:type="dxa"/>
                              <w:shd w:val="clear" w:color="auto" w:fill="auto"/>
                            </w:tcPr>
                            <w:p w:rsidR="00FD06F3" w:rsidRDefault="00FD06F3">
                              <w:pPr>
                                <w:pStyle w:val="EYBusinessaddress"/>
                                <w:rPr>
                                  <w:lang w:val="en-US"/>
                                </w:rPr>
                              </w:pPr>
                            </w:p>
                          </w:tc>
                          <w:tc>
                            <w:tcPr>
                              <w:tcW w:w="2551" w:type="dxa"/>
                              <w:shd w:val="clear" w:color="auto" w:fill="auto"/>
                            </w:tcPr>
                            <w:tbl>
                              <w:tblPr>
                                <w:tblW w:w="0" w:type="auto"/>
                                <w:tblLayout w:type="fixed"/>
                                <w:tblLook w:val="01E0" w:firstRow="1" w:lastRow="1" w:firstColumn="1" w:lastColumn="1" w:noHBand="0" w:noVBand="0"/>
                              </w:tblPr>
                              <w:tblGrid>
                                <w:gridCol w:w="2715"/>
                              </w:tblGrid>
                              <w:tr w:rsidR="00FD06F3">
                                <w:tc>
                                  <w:tcPr>
                                    <w:tcW w:w="2715" w:type="dxa"/>
                                    <w:shd w:val="clear" w:color="auto" w:fill="auto"/>
                                    <w:tcMar>
                                      <w:left w:w="0" w:type="dxa"/>
                                      <w:right w:w="0" w:type="dxa"/>
                                    </w:tcMar>
                                  </w:tcPr>
                                  <w:p w:rsidR="00FD06F3" w:rsidRDefault="0054425B">
                                    <w:pPr>
                                      <w:pStyle w:val="Legalentityname"/>
                                      <w:rPr>
                                        <w:b w:val="0"/>
                                        <w:lang w:val="ru-RU"/>
                                      </w:rPr>
                                    </w:pPr>
                                    <w:r>
                                      <w:rPr>
                                        <w:b w:val="0"/>
                                        <w:lang w:val="ru-RU"/>
                                      </w:rPr>
                                      <w:t>ООО «Эрнст энд Янг»</w:t>
                                    </w:r>
                                  </w:p>
                                  <w:p w:rsidR="00FD06F3" w:rsidRDefault="0054425B">
                                    <w:pPr>
                                      <w:pStyle w:val="address"/>
                                    </w:pPr>
                                    <w:r>
                                      <w:t xml:space="preserve">Россия, 115035, Москва </w:t>
                                    </w:r>
                                    <w:r>
                                      <w:br/>
                                      <w:t>Садовническая наб., 77, стр. 1</w:t>
                                    </w:r>
                                  </w:p>
                                  <w:p w:rsidR="00FD06F3" w:rsidRDefault="0054425B">
                                    <w:pPr>
                                      <w:pStyle w:val="address"/>
                                      <w:tabs>
                                        <w:tab w:val="left" w:pos="518"/>
                                      </w:tabs>
                                      <w:rPr>
                                        <w:lang w:val="en-US"/>
                                      </w:rPr>
                                    </w:pPr>
                                    <w:r>
                                      <w:t>Тел.:</w:t>
                                    </w:r>
                                    <w:r>
                                      <w:tab/>
                                      <w:t>+7 (495) 705 9700</w:t>
                                    </w:r>
                                    <w:r>
                                      <w:br/>
                                    </w:r>
                                    <w:r>
                                      <w:tab/>
                                      <w:t>+7 (495) 755 9700</w:t>
                                    </w:r>
                                    <w:r>
                                      <w:br/>
                                      <w:t>Факс:</w:t>
                                    </w:r>
                                    <w:r>
                                      <w:tab/>
                                      <w:t>+7 (495) 755 9701</w:t>
                                    </w:r>
                                    <w:r>
                                      <w:br/>
                                      <w:t>ОКПО:</w:t>
                                    </w:r>
                                    <w:r>
                                      <w:tab/>
                                      <w:t>59002827</w:t>
                                    </w:r>
                                  </w:p>
                                </w:tc>
                              </w:tr>
                              <w:tr w:rsidR="00FD06F3">
                                <w:trPr>
                                  <w:trHeight w:hRule="exact" w:val="80"/>
                                </w:trPr>
                                <w:tc>
                                  <w:tcPr>
                                    <w:tcW w:w="2715" w:type="dxa"/>
                                    <w:shd w:val="clear" w:color="auto" w:fill="auto"/>
                                    <w:tcMar>
                                      <w:left w:w="0" w:type="dxa"/>
                                      <w:right w:w="0" w:type="dxa"/>
                                    </w:tcMar>
                                  </w:tcPr>
                                  <w:p w:rsidR="00FD06F3" w:rsidRDefault="00FD06F3">
                                    <w:pPr>
                                      <w:pStyle w:val="EYBusinessaddress"/>
                                    </w:pPr>
                                  </w:p>
                                </w:tc>
                              </w:tr>
                            </w:tbl>
                            <w:p w:rsidR="00FD06F3" w:rsidRDefault="00FD06F3">
                              <w:pPr>
                                <w:pStyle w:val="address"/>
                                <w:tabs>
                                  <w:tab w:val="left" w:pos="567"/>
                                </w:tabs>
                              </w:pPr>
                            </w:p>
                            <w:p w:rsidR="00FD06F3" w:rsidRDefault="00FD06F3">
                              <w:pPr>
                                <w:pStyle w:val="EYBusinessaddress"/>
                              </w:pPr>
                            </w:p>
                          </w:tc>
                        </w:tr>
                      </w:tbl>
                      <w:p w:rsidR="00FD06F3" w:rsidRDefault="00FD06F3">
                        <w:pPr>
                          <w:pStyle w:val="EYBusinessaddress"/>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9" type="#_x0000_t75" style="position:absolute;width:12096;height:92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SKlKTDAAAA2gAAAA8AAABkcnMvZG93bnJldi54bWxEj0FrwkAUhO9C/8PyCr3pplKkRFexxYAH&#10;D5ooeHxkn0lI9m2a3Sbpv3cFocdhZr5hVpvRNKKnzlWWFbzPIhDEudUVFwrOWTL9BOE8ssbGMin4&#10;Iweb9ctkhbG2A5+oT30hAoRdjApK79tYSpeXZNDNbEscvJvtDPogu0LqDocAN42cR9FCGqw4LJTY&#10;0ndJeZ3+GgW76nA51YfMp/XPV3JMhv66X0il3l7H7RKEp9H/h5/tvVbwAY8r4QbI9R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9IqUpMMAAADaAAAADwAAAAAAAAAAAAAAAACf&#10;AgAAZHJzL2Rvd25yZXYueG1sUEsFBgAAAAAEAAQA9wAAAI8DAAAAAA==&#10;">
                  <v:imagedata r:id="rId4" o:title=""/>
                  <v:path arrowok="t"/>
                </v:shape>
              </v:group>
              <v:shape id="Text Box 5" o:spid="_x0000_s1030" type="#_x0000_t202" style="position:absolute;top:100393;width:17145;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rsidR="00FD06F3" w:rsidRDefault="0054425B">
                      <w:pPr>
                        <w:pStyle w:val="EYFooterinfo"/>
                        <w:rPr>
                          <w:lang w:val="en-US"/>
                        </w:rPr>
                      </w:pPr>
                      <w:r>
                        <w:rPr>
                          <w:lang w:val="en-US"/>
                        </w:rPr>
                        <w:t>A member firm of Ernst &amp; Young Global Limited</w:t>
                      </w:r>
                    </w:p>
                  </w:txbxContent>
                </v:textbox>
              </v:shape>
            </v:group>
          </w:pict>
        </mc:Fallback>
      </mc:AlternateContent>
    </w:r>
  </w:p>
  <w:p w:rsidR="00FD06F3" w:rsidRDefault="00FD06F3">
    <w:pPr>
      <w:pStyle w:val="Header"/>
    </w:pPr>
  </w:p>
  <w:p w:rsidR="00FD06F3" w:rsidRDefault="00FD06F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6F3" w:rsidRDefault="0054425B">
    <w:pPr>
      <w:pStyle w:val="Header"/>
    </w:pPr>
    <w:r>
      <w:rPr>
        <w:noProof/>
        <w:lang w:val="en-US" w:eastAsia="en-US"/>
      </w:rPr>
      <mc:AlternateContent>
        <mc:Choice Requires="wpg">
          <w:drawing>
            <wp:anchor distT="0" distB="0" distL="114300" distR="114300" simplePos="0" relativeHeight="251659264" behindDoc="0" locked="0" layoutInCell="1" allowOverlap="1">
              <wp:simplePos x="0" y="0"/>
              <wp:positionH relativeFrom="column">
                <wp:posOffset>12065</wp:posOffset>
              </wp:positionH>
              <wp:positionV relativeFrom="paragraph">
                <wp:posOffset>-161925</wp:posOffset>
              </wp:positionV>
              <wp:extent cx="1714500" cy="10153650"/>
              <wp:effectExtent l="0" t="0" r="0" b="0"/>
              <wp:wrapNone/>
              <wp:docPr id="23" name="Group 23"/>
              <wp:cNvGraphicFramePr/>
              <a:graphic xmlns:a="http://schemas.openxmlformats.org/drawingml/2006/main">
                <a:graphicData uri="http://schemas.microsoft.com/office/word/2010/wordprocessingGroup">
                  <wpg:wgp>
                    <wpg:cNvGrpSpPr/>
                    <wpg:grpSpPr>
                      <a:xfrm>
                        <a:off x="0" y="0"/>
                        <a:ext cx="1714500" cy="10153650"/>
                        <a:chOff x="0" y="0"/>
                        <a:chExt cx="1714500" cy="10153650"/>
                      </a:xfrm>
                    </wpg:grpSpPr>
                    <pic:pic xmlns:pic="http://schemas.openxmlformats.org/drawingml/2006/picture">
                      <pic:nvPicPr>
                        <pic:cNvPr id="18" name="Picture 1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09675" cy="923925"/>
                        </a:xfrm>
                        <a:prstGeom prst="rect">
                          <a:avLst/>
                        </a:prstGeom>
                      </pic:spPr>
                    </pic:pic>
                    <wps:wsp>
                      <wps:cNvPr id="21" name="Text Box 21"/>
                      <wps:cNvSpPr txBox="1">
                        <a:spLocks noChangeArrowheads="1"/>
                      </wps:cNvSpPr>
                      <wps:spPr bwMode="auto">
                        <a:xfrm>
                          <a:off x="0" y="10039350"/>
                          <a:ext cx="17145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06F3" w:rsidRDefault="0054425B">
                            <w:pPr>
                              <w:pStyle w:val="EYFooterinfo"/>
                              <w:rPr>
                                <w:lang w:val="en-US"/>
                              </w:rPr>
                            </w:pPr>
                            <w:r>
                              <w:rPr>
                                <w:lang w:val="en-US"/>
                              </w:rPr>
                              <w:t>A member firm of Ernst &amp; Young Global Limited</w:t>
                            </w:r>
                          </w:p>
                        </w:txbxContent>
                      </wps:txbx>
                      <wps:bodyPr rot="0" vert="horz" wrap="square" lIns="0" tIns="0" rIns="0" bIns="0" anchor="t" anchorCtr="0" upright="1">
                        <a:noAutofit/>
                      </wps:bodyPr>
                    </wps:wsp>
                  </wpg:wgp>
                </a:graphicData>
              </a:graphic>
              <wp14:sizeRelH relativeFrom="margin">
                <wp14:pctWidth>0</wp14:pctWidth>
              </wp14:sizeRelH>
            </wp:anchor>
          </w:drawing>
        </mc:Choice>
        <mc:Fallback>
          <w:pict>
            <v:group id="Group 23" o:spid="_x0000_s1031" style="position:absolute;left:0;text-align:left;margin-left:.95pt;margin-top:-12.75pt;width:135pt;height:799.5pt;z-index:251659264;mso-width-relative:margin" coordsize="17145,101536"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&#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 o:spid="_x0000_s1032" type="#_x0000_t75" style="position:absolute;width:12096;height:92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H/bCPFAAAA2wAAAA8AAABkcnMvZG93bnJldi54bWxEj0FrwkAQhe9C/8Myhd500x6kRFdRacCD&#10;hxpb8DhkxyQkO5tmt0n67zsHwdsM781736y3k2vVQH2oPRt4XSSgiAtvay4NfF2y+TuoEJEttp7J&#10;wB8F2G6eZmtMrR/5TEMeSyUhHFI0UMXYpVqHoiKHYeE7YtFuvncYZe1LbXscJdy1+i1JltphzdJQ&#10;YUeHioom/3UGPurT97k5XWLe/Oyzz2wcrselNubledqtQEWa4sN8vz5awRdY+UUG0Jt/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R/2wjxQAAANsAAAAPAAAAAAAAAAAAAAAA&#10;AJ8CAABkcnMvZG93bnJldi54bWxQSwUGAAAAAAQABAD3AAAAkQMAAAAA&#10;">
                <v:imagedata r:id="rId2" o:title=""/>
                <v:path arrowok="t"/>
              </v:shape>
              <v:shapetype id="_x0000_t202" coordsize="21600,21600" o:spt="202" path="m,l,21600r21600,l21600,xe">
                <v:stroke joinstyle="miter"/>
                <v:path gradientshapeok="t" o:connecttype="rect"/>
              </v:shapetype>
              <v:shape id="Text Box 21" o:spid="_x0000_s1033" type="#_x0000_t202" style="position:absolute;top:100393;width:17145;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pPr>
                        <w:pStyle w:val="EYFooterinfo"/>
                        <w:rPr>
                          <w:lang w:val="en-US"/>
                        </w:rPr>
                      </w:pPr>
                      <w:r>
                        <w:rPr>
                          <w:lang w:val="en-US"/>
                        </w:rPr>
                        <w:t>A member firm of Ernst &amp; Young Global Limited</w:t>
                      </w:r>
                    </w:p>
                  </w:txbxContent>
                </v:textbox>
              </v:shape>
            </v:group>
          </w:pict>
        </mc:Fallback>
      </mc:AlternateContent>
    </w:r>
  </w:p>
  <w:p w:rsidR="00FD06F3" w:rsidRDefault="00FD06F3">
    <w:pPr>
      <w:pStyle w:val="Header"/>
    </w:pPr>
  </w:p>
  <w:p w:rsidR="00FD06F3" w:rsidRDefault="00FD06F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6F3" w:rsidRDefault="0054425B">
    <w:pPr>
      <w:rPr>
        <w:b/>
        <w:bCs/>
      </w:rPr>
    </w:pPr>
    <w:r>
      <w:rPr>
        <w:b/>
        <w:bCs/>
      </w:rPr>
      <w:t>ПАО «Московская кондитерская фабрика «Красный октябрь»</w:t>
    </w:r>
  </w:p>
  <w:p w:rsidR="00FD06F3" w:rsidRDefault="0054425B">
    <w:pPr>
      <w:rPr>
        <w:b/>
        <w:bCs/>
      </w:rPr>
    </w:pPr>
    <w:r>
      <w:rPr>
        <w:b/>
        <w:bCs/>
      </w:rPr>
      <w:t>Консолидированная финансовая отчетность по МСФО за год, закончившийся 31 декабря 2017 г.</w:t>
    </w:r>
  </w:p>
  <w:p w:rsidR="00FD06F3" w:rsidRDefault="0054425B">
    <w:pPr>
      <w:pBdr>
        <w:bottom w:val="single" w:sz="6" w:space="1" w:color="auto"/>
      </w:pBdr>
      <w:rPr>
        <w:b/>
        <w:bCs/>
      </w:rPr>
    </w:pPr>
    <w:r>
      <w:rPr>
        <w:b/>
        <w:bCs/>
      </w:rPr>
      <w:t>(в тысячах российских рублей, если не указано иное)</w:t>
    </w:r>
  </w:p>
  <w:p w:rsidR="00FD06F3" w:rsidRDefault="00FD06F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6F3" w:rsidRDefault="0054425B">
    <w:pPr>
      <w:jc w:val="left"/>
      <w:rPr>
        <w:b/>
        <w:bCs/>
      </w:rPr>
    </w:pPr>
    <w:r>
      <w:rPr>
        <w:b/>
        <w:bCs/>
      </w:rPr>
      <w:t>ОАО "Красный Октябрь"</w:t>
    </w:r>
  </w:p>
  <w:p w:rsidR="00FD06F3" w:rsidRDefault="0054425B">
    <w:pPr>
      <w:rPr>
        <w:b/>
        <w:bCs/>
      </w:rPr>
    </w:pPr>
    <w:r>
      <w:rPr>
        <w:b/>
        <w:bCs/>
      </w:rPr>
      <w:t>Консолидированная финансовая отчетность по МСФО за год, закончившийся 31 декабря 2014 г.</w:t>
    </w:r>
  </w:p>
  <w:p w:rsidR="00FD06F3" w:rsidRDefault="0054425B">
    <w:pPr>
      <w:pBdr>
        <w:bottom w:val="single" w:sz="4" w:space="1" w:color="auto"/>
      </w:pBdr>
      <w:rPr>
        <w:b/>
        <w:bCs/>
      </w:rPr>
    </w:pPr>
    <w:r>
      <w:rPr>
        <w:b/>
        <w:bCs/>
      </w:rPr>
      <w:t>(в тысячах росс</w:t>
    </w:r>
    <w:r>
      <w:rPr>
        <w:b/>
        <w:bCs/>
      </w:rPr>
      <w:t>ийских рублей, если не указано иное)</w:t>
    </w:r>
  </w:p>
  <w:p w:rsidR="00FD06F3" w:rsidRDefault="00FD06F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6F3" w:rsidRDefault="0054425B">
    <w:pPr>
      <w:jc w:val="left"/>
      <w:rPr>
        <w:b/>
        <w:bCs/>
      </w:rPr>
    </w:pPr>
    <w:r>
      <w:rPr>
        <w:b/>
        <w:bCs/>
      </w:rPr>
      <w:t>ОАО "Красный Октябрь"</w:t>
    </w:r>
  </w:p>
  <w:p w:rsidR="00FD06F3" w:rsidRDefault="0054425B">
    <w:pPr>
      <w:rPr>
        <w:b/>
        <w:bCs/>
      </w:rPr>
    </w:pPr>
    <w:r>
      <w:rPr>
        <w:b/>
        <w:bCs/>
      </w:rPr>
      <w:t>Консолидированная финансовая отчетность по МСФО за год, закончившийся 31 декабря 2014 года</w:t>
    </w:r>
  </w:p>
  <w:p w:rsidR="00FD06F3" w:rsidRDefault="0054425B">
    <w:pPr>
      <w:pBdr>
        <w:bottom w:val="single" w:sz="4" w:space="1" w:color="auto"/>
      </w:pBdr>
      <w:rPr>
        <w:b/>
        <w:bCs/>
      </w:rPr>
    </w:pPr>
    <w:r>
      <w:rPr>
        <w:b/>
        <w:bCs/>
      </w:rPr>
      <w:t>(в тысячах российских рублей, если не указано иное)</w:t>
    </w:r>
  </w:p>
  <w:p w:rsidR="00FD06F3" w:rsidRDefault="00FD06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25pt;height:135.6pt;visibility:visible" o:bullet="t">
        <v:imagedata r:id="rId1" o:title=""/>
      </v:shape>
    </w:pict>
  </w:numPicBullet>
  <w:abstractNum w:abstractNumId="0" w15:restartNumberingAfterBreak="0">
    <w:nsid w:val="018574B9"/>
    <w:multiLevelType w:val="hybridMultilevel"/>
    <w:tmpl w:val="77BE592A"/>
    <w:lvl w:ilvl="0" w:tplc="1CC4FC88">
      <w:start w:val="3"/>
      <w:numFmt w:val="decimal"/>
      <w:lvlText w:val="%1."/>
      <w:lvlJc w:val="left"/>
      <w:pPr>
        <w:tabs>
          <w:tab w:val="num" w:pos="405"/>
        </w:tabs>
        <w:ind w:left="405" w:hanging="360"/>
      </w:pPr>
      <w:rPr>
        <w:rFonts w:hint="default"/>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1" w15:restartNumberingAfterBreak="0">
    <w:nsid w:val="04BE1889"/>
    <w:multiLevelType w:val="hybridMultilevel"/>
    <w:tmpl w:val="D4AA2E0C"/>
    <w:lvl w:ilvl="0" w:tplc="4BFA4B64">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15:restartNumberingAfterBreak="0">
    <w:nsid w:val="0B6A006E"/>
    <w:multiLevelType w:val="hybridMultilevel"/>
    <w:tmpl w:val="8382A836"/>
    <w:lvl w:ilvl="0" w:tplc="0FD6CD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D75C3B"/>
    <w:multiLevelType w:val="hybridMultilevel"/>
    <w:tmpl w:val="320A1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3C5923"/>
    <w:multiLevelType w:val="hybridMultilevel"/>
    <w:tmpl w:val="D004C598"/>
    <w:lvl w:ilvl="0" w:tplc="2EFE4A2C">
      <w:start w:val="1"/>
      <w:numFmt w:val="bullet"/>
      <w:lvlText w:val="►"/>
      <w:lvlJc w:val="left"/>
      <w:pPr>
        <w:ind w:left="720" w:hanging="360"/>
      </w:pPr>
      <w:rPr>
        <w:rFonts w:ascii="Arial" w:hAnsi="Arial" w:cs="Arial" w:hint="default"/>
        <w:color w:val="auto"/>
        <w:sz w:val="12"/>
        <w:szCs w:val="1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15:restartNumberingAfterBreak="0">
    <w:nsid w:val="122A151B"/>
    <w:multiLevelType w:val="hybridMultilevel"/>
    <w:tmpl w:val="A3429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81003C"/>
    <w:multiLevelType w:val="hybridMultilevel"/>
    <w:tmpl w:val="F5CAD136"/>
    <w:lvl w:ilvl="0" w:tplc="0419000F">
      <w:start w:val="1"/>
      <w:numFmt w:val="decimal"/>
      <w:lvlText w:val="%1."/>
      <w:lvlJc w:val="left"/>
      <w:pPr>
        <w:ind w:left="720" w:hanging="360"/>
      </w:pPr>
    </w:lvl>
    <w:lvl w:ilvl="1" w:tplc="9F68D624">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B4753C"/>
    <w:multiLevelType w:val="hybridMultilevel"/>
    <w:tmpl w:val="BD2015A2"/>
    <w:lvl w:ilvl="0" w:tplc="1CE24998">
      <w:start w:val="1"/>
      <w:numFmt w:val="low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A804B0A"/>
    <w:multiLevelType w:val="multilevel"/>
    <w:tmpl w:val="3788B718"/>
    <w:lvl w:ilvl="0">
      <w:start w:val="4"/>
      <w:numFmt w:val="bullet"/>
      <w:lvlText w:val=""/>
      <w:lvlJc w:val="left"/>
      <w:pPr>
        <w:tabs>
          <w:tab w:val="num" w:pos="567"/>
        </w:tabs>
        <w:ind w:left="567" w:hanging="567"/>
      </w:pPr>
      <w:rPr>
        <w:rFonts w:ascii="Symbol" w:hAnsi="Symbol" w:cs="Symbol" w:hint="default"/>
        <w:b w:val="0"/>
        <w:bCs w:val="0"/>
        <w:i w:val="0"/>
        <w:iCs w:val="0"/>
        <w:caps w:val="0"/>
        <w:strike w:val="0"/>
        <w:dstrike w:val="0"/>
        <w:vanish w:val="0"/>
        <w:color w:val="000000"/>
        <w:vertAlign w:val="baseline"/>
      </w:rPr>
    </w:lvl>
    <w:lvl w:ilvl="1">
      <w:start w:val="1"/>
      <w:numFmt w:val="bullet"/>
      <w:lvlText w:val="–"/>
      <w:lvlJc w:val="left"/>
      <w:pPr>
        <w:tabs>
          <w:tab w:val="num" w:pos="927"/>
        </w:tabs>
        <w:ind w:left="851" w:hanging="284"/>
      </w:pPr>
      <w:rPr>
        <w:rFonts w:ascii="Times New Roman" w:hAnsi="Times New Roman" w:cs="Times New Roman" w:hint="default"/>
        <w:b w:val="0"/>
        <w:bCs w:val="0"/>
        <w:i w:val="0"/>
        <w:iCs w:val="0"/>
        <w:caps w:val="0"/>
        <w:strike w:val="0"/>
        <w:dstrike w:val="0"/>
        <w:vanish w:val="0"/>
        <w:color w:val="000000"/>
        <w:sz w:val="20"/>
        <w:szCs w:val="20"/>
        <w:vertAlign w:val="baseline"/>
      </w:rPr>
    </w:lvl>
    <w:lvl w:ilvl="2">
      <w:start w:val="1"/>
      <w:numFmt w:val="decimal"/>
      <w:lvlText w:val="%1.%2.%3"/>
      <w:lvlJc w:val="left"/>
      <w:pPr>
        <w:tabs>
          <w:tab w:val="num" w:pos="720"/>
        </w:tabs>
        <w:ind w:left="720" w:hanging="720"/>
      </w:pPr>
      <w:rPr>
        <w:rFonts w:ascii="Arial" w:hAnsi="Arial" w:cs="Arial" w:hint="default"/>
      </w:rPr>
    </w:lvl>
    <w:lvl w:ilvl="3">
      <w:start w:val="1"/>
      <w:numFmt w:val="decimal"/>
      <w:lvlText w:val="%1.%2.%3.%4"/>
      <w:lvlJc w:val="left"/>
      <w:pPr>
        <w:tabs>
          <w:tab w:val="num" w:pos="720"/>
        </w:tabs>
        <w:ind w:left="720" w:hanging="720"/>
      </w:pPr>
      <w:rPr>
        <w:rFonts w:ascii="Arial" w:hAnsi="Arial" w:cs="Arial" w:hint="default"/>
      </w:rPr>
    </w:lvl>
    <w:lvl w:ilvl="4">
      <w:start w:val="1"/>
      <w:numFmt w:val="decimal"/>
      <w:lvlText w:val="%1.%2.%3.%4.%5"/>
      <w:lvlJc w:val="left"/>
      <w:pPr>
        <w:tabs>
          <w:tab w:val="num" w:pos="720"/>
        </w:tabs>
        <w:ind w:left="720" w:hanging="720"/>
      </w:pPr>
      <w:rPr>
        <w:rFonts w:ascii="Arial" w:hAnsi="Arial" w:cs="Arial" w:hint="default"/>
      </w:rPr>
    </w:lvl>
    <w:lvl w:ilvl="5">
      <w:start w:val="1"/>
      <w:numFmt w:val="decimal"/>
      <w:lvlText w:val="%1.%2.%3.%4.%5.%6"/>
      <w:lvlJc w:val="left"/>
      <w:pPr>
        <w:tabs>
          <w:tab w:val="num" w:pos="1080"/>
        </w:tabs>
        <w:ind w:left="1080" w:hanging="1080"/>
      </w:pPr>
      <w:rPr>
        <w:rFonts w:ascii="Arial" w:hAnsi="Arial" w:cs="Arial" w:hint="default"/>
      </w:rPr>
    </w:lvl>
    <w:lvl w:ilvl="6">
      <w:start w:val="1"/>
      <w:numFmt w:val="decimal"/>
      <w:lvlText w:val="%1.%2.%3.%4.%5.%6.%7"/>
      <w:lvlJc w:val="left"/>
      <w:pPr>
        <w:tabs>
          <w:tab w:val="num" w:pos="1080"/>
        </w:tabs>
        <w:ind w:left="1080" w:hanging="1080"/>
      </w:pPr>
      <w:rPr>
        <w:rFonts w:ascii="Arial" w:hAnsi="Arial" w:cs="Arial" w:hint="default"/>
      </w:rPr>
    </w:lvl>
    <w:lvl w:ilvl="7">
      <w:start w:val="1"/>
      <w:numFmt w:val="decimal"/>
      <w:lvlText w:val="%1.%2.%3.%4.%5.%6.%7.%8"/>
      <w:lvlJc w:val="left"/>
      <w:pPr>
        <w:tabs>
          <w:tab w:val="num" w:pos="1440"/>
        </w:tabs>
        <w:ind w:left="1440" w:hanging="1440"/>
      </w:pPr>
      <w:rPr>
        <w:rFonts w:ascii="Arial" w:hAnsi="Arial" w:cs="Arial" w:hint="default"/>
      </w:rPr>
    </w:lvl>
    <w:lvl w:ilvl="8">
      <w:start w:val="1"/>
      <w:numFmt w:val="decimal"/>
      <w:lvlText w:val="%1.%2.%3.%4.%5.%6.%7.%8.%9"/>
      <w:lvlJc w:val="left"/>
      <w:pPr>
        <w:tabs>
          <w:tab w:val="num" w:pos="1440"/>
        </w:tabs>
        <w:ind w:left="1440" w:hanging="1440"/>
      </w:pPr>
      <w:rPr>
        <w:rFonts w:ascii="Arial" w:hAnsi="Arial" w:cs="Arial" w:hint="default"/>
      </w:rPr>
    </w:lvl>
  </w:abstractNum>
  <w:abstractNum w:abstractNumId="9" w15:restartNumberingAfterBreak="0">
    <w:nsid w:val="1BBB06A0"/>
    <w:multiLevelType w:val="hybridMultilevel"/>
    <w:tmpl w:val="5574DB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C6D46BB"/>
    <w:multiLevelType w:val="hybridMultilevel"/>
    <w:tmpl w:val="935492E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05F22CD"/>
    <w:multiLevelType w:val="hybridMultilevel"/>
    <w:tmpl w:val="515A628C"/>
    <w:lvl w:ilvl="0" w:tplc="213ED224">
      <w:start w:val="1"/>
      <w:numFmt w:val="bullet"/>
      <w:lvlText w:val="►"/>
      <w:lvlJc w:val="left"/>
      <w:pPr>
        <w:ind w:left="720" w:hanging="360"/>
      </w:pPr>
      <w:rPr>
        <w:rFonts w:ascii="Arial" w:hAnsi="Arial" w:hint="default"/>
        <w:caps w:val="0"/>
        <w:strike w:val="0"/>
        <w:dstrike w:val="0"/>
        <w:vanish w:val="0"/>
        <w:color w:val="auto"/>
        <w:sz w:val="12"/>
        <w:u w:val="none"/>
        <w:vertAlign w:val="baseline"/>
      </w:rPr>
    </w:lvl>
    <w:lvl w:ilvl="1" w:tplc="142C46C8">
      <w:start w:val="1"/>
      <w:numFmt w:val="bullet"/>
      <w:lvlText w:val=""/>
      <w:lvlJc w:val="left"/>
      <w:pPr>
        <w:ind w:left="1440" w:hanging="360"/>
      </w:pPr>
      <w:rPr>
        <w:rFonts w:ascii="Symbol" w:hAnsi="Symbol" w:cs="Symbol" w:hint="default"/>
        <w:caps w:val="0"/>
        <w:strike w:val="0"/>
        <w:dstrike w:val="0"/>
        <w:vanish w:val="0"/>
        <w:color w:val="auto"/>
        <w:sz w:val="20"/>
        <w:szCs w:val="20"/>
        <w:u w:val="none"/>
        <w:vertAlign w:val="baseli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037A88"/>
    <w:multiLevelType w:val="hybridMultilevel"/>
    <w:tmpl w:val="7BD62622"/>
    <w:lvl w:ilvl="0" w:tplc="E982A828">
      <w:start w:val="1"/>
      <w:numFmt w:val="lowerLetter"/>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22846407"/>
    <w:multiLevelType w:val="hybridMultilevel"/>
    <w:tmpl w:val="E68E56F0"/>
    <w:lvl w:ilvl="0" w:tplc="8892B258">
      <w:start w:val="1"/>
      <w:numFmt w:val="bullet"/>
      <w:lvlText w:val=""/>
      <w:lvlJc w:val="left"/>
      <w:pPr>
        <w:ind w:left="720" w:hanging="360"/>
      </w:pPr>
      <w:rPr>
        <w:rFonts w:ascii="Symbol" w:hAnsi="Symbol" w:cs="Symbol" w:hint="default"/>
        <w:caps w:val="0"/>
        <w:strike w:val="0"/>
        <w:dstrike w:val="0"/>
        <w:vanish w:val="0"/>
        <w:color w:val="auto"/>
        <w:sz w:val="20"/>
        <w:szCs w:val="20"/>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B9304C"/>
    <w:multiLevelType w:val="hybridMultilevel"/>
    <w:tmpl w:val="52107FB0"/>
    <w:lvl w:ilvl="0" w:tplc="E84AF298">
      <w:start w:val="1"/>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15:restartNumberingAfterBreak="0">
    <w:nsid w:val="243B2316"/>
    <w:multiLevelType w:val="hybridMultilevel"/>
    <w:tmpl w:val="A686DBFC"/>
    <w:lvl w:ilvl="0" w:tplc="0AF475C6">
      <w:start w:val="1"/>
      <w:numFmt w:val="bullet"/>
      <w:lvlText w:val=""/>
      <w:lvlJc w:val="left"/>
      <w:pPr>
        <w:ind w:left="720" w:hanging="360"/>
      </w:pPr>
      <w:rPr>
        <w:rFonts w:ascii="Symbol" w:hAnsi="Symbol" w:cs="Symbol" w:hint="default"/>
        <w:caps w:val="0"/>
        <w:strike w:val="0"/>
        <w:dstrike w:val="0"/>
        <w:vanish w:val="0"/>
        <w:color w:val="auto"/>
        <w:sz w:val="20"/>
        <w:szCs w:val="20"/>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AA3C43"/>
    <w:multiLevelType w:val="hybridMultilevel"/>
    <w:tmpl w:val="4E4078C6"/>
    <w:lvl w:ilvl="0" w:tplc="96DACBD2">
      <w:start w:val="1"/>
      <w:numFmt w:val="bullet"/>
      <w:lvlText w:val="•"/>
      <w:lvlJc w:val="left"/>
      <w:pPr>
        <w:ind w:left="720" w:hanging="360"/>
      </w:pPr>
      <w:rPr>
        <w:rFonts w:ascii="EYInterstate" w:hAnsi="EYInterstate" w:cs="EYInterstate"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26A362A8"/>
    <w:multiLevelType w:val="hybridMultilevel"/>
    <w:tmpl w:val="068CAC9E"/>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8405D34"/>
    <w:multiLevelType w:val="hybridMultilevel"/>
    <w:tmpl w:val="23143502"/>
    <w:lvl w:ilvl="0" w:tplc="FD346AF8">
      <w:start w:val="13"/>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2AE71AFC"/>
    <w:multiLevelType w:val="singleLevel"/>
    <w:tmpl w:val="AE46294E"/>
    <w:lvl w:ilvl="0">
      <w:start w:val="1"/>
      <w:numFmt w:val="lowerLetter"/>
      <w:lvlText w:val="(%1)"/>
      <w:lvlJc w:val="left"/>
      <w:pPr>
        <w:tabs>
          <w:tab w:val="num" w:pos="900"/>
        </w:tabs>
        <w:ind w:left="900" w:hanging="675"/>
      </w:pPr>
      <w:rPr>
        <w:rFonts w:hint="default"/>
      </w:rPr>
    </w:lvl>
  </w:abstractNum>
  <w:abstractNum w:abstractNumId="20" w15:restartNumberingAfterBreak="0">
    <w:nsid w:val="2D7C2EF3"/>
    <w:multiLevelType w:val="hybridMultilevel"/>
    <w:tmpl w:val="B25AB9F0"/>
    <w:lvl w:ilvl="0" w:tplc="BF825D2E">
      <w:start w:val="1"/>
      <w:numFmt w:val="bullet"/>
      <w:lvlText w:val=""/>
      <w:lvlJc w:val="left"/>
      <w:pPr>
        <w:ind w:left="720" w:hanging="360"/>
      </w:pPr>
      <w:rPr>
        <w:rFonts w:ascii="Symbol" w:hAnsi="Symbol" w:cs="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412BA7"/>
    <w:multiLevelType w:val="hybridMultilevel"/>
    <w:tmpl w:val="D4B6CD2E"/>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335264A"/>
    <w:multiLevelType w:val="hybridMultilevel"/>
    <w:tmpl w:val="2B6E7154"/>
    <w:lvl w:ilvl="0" w:tplc="2558F790">
      <w:start w:val="1"/>
      <w:numFmt w:val="bullet"/>
      <w:lvlText w:val=""/>
      <w:lvlJc w:val="left"/>
      <w:pPr>
        <w:tabs>
          <w:tab w:val="num" w:pos="360"/>
        </w:tabs>
        <w:ind w:left="284" w:hanging="284"/>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79A3C1A"/>
    <w:multiLevelType w:val="hybridMultilevel"/>
    <w:tmpl w:val="DC82221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7B55F39"/>
    <w:multiLevelType w:val="hybridMultilevel"/>
    <w:tmpl w:val="30B4B702"/>
    <w:lvl w:ilvl="0" w:tplc="213ED224">
      <w:start w:val="1"/>
      <w:numFmt w:val="bullet"/>
      <w:lvlText w:val="►"/>
      <w:lvlJc w:val="left"/>
      <w:pPr>
        <w:ind w:left="720" w:hanging="360"/>
      </w:pPr>
      <w:rPr>
        <w:rFonts w:ascii="Arial" w:hAnsi="Arial" w:hint="default"/>
        <w:caps w:val="0"/>
        <w:strike w:val="0"/>
        <w:dstrike w:val="0"/>
        <w:vanish w:val="0"/>
        <w:color w:val="auto"/>
        <w:sz w:val="12"/>
        <w:u w:val="none"/>
        <w:vertAlign w:val="baseline"/>
      </w:rPr>
    </w:lvl>
    <w:lvl w:ilvl="1" w:tplc="4906CB80">
      <w:start w:val="1"/>
      <w:numFmt w:val="bullet"/>
      <w:lvlText w:val=""/>
      <w:lvlJc w:val="left"/>
      <w:pPr>
        <w:ind w:left="1440" w:hanging="360"/>
      </w:pPr>
      <w:rPr>
        <w:rFonts w:ascii="Symbol" w:hAnsi="Symbol" w:cs="Symbol" w:hint="default"/>
        <w:caps w:val="0"/>
        <w:strike w:val="0"/>
        <w:dstrike w:val="0"/>
        <w:vanish w:val="0"/>
        <w:color w:val="auto"/>
        <w:sz w:val="20"/>
        <w:szCs w:val="20"/>
        <w:u w:val="none"/>
        <w:vertAlign w:val="baseli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F526AE"/>
    <w:multiLevelType w:val="hybridMultilevel"/>
    <w:tmpl w:val="783C2332"/>
    <w:lvl w:ilvl="0" w:tplc="44E6C2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1F6229"/>
    <w:multiLevelType w:val="hybridMultilevel"/>
    <w:tmpl w:val="1FB26472"/>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B7323B"/>
    <w:multiLevelType w:val="hybridMultilevel"/>
    <w:tmpl w:val="8FAC6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05F4645"/>
    <w:multiLevelType w:val="hybridMultilevel"/>
    <w:tmpl w:val="2C52BB96"/>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5A04171"/>
    <w:multiLevelType w:val="hybridMultilevel"/>
    <w:tmpl w:val="AA5C3BAE"/>
    <w:lvl w:ilvl="0" w:tplc="43D6EF76">
      <w:start w:val="1"/>
      <w:numFmt w:val="bullet"/>
      <w:lvlText w:val="►"/>
      <w:lvlJc w:val="left"/>
      <w:pPr>
        <w:ind w:left="720" w:hanging="360"/>
      </w:pPr>
      <w:rPr>
        <w:rFonts w:ascii="Arial" w:hAnsi="Arial" w:hint="default"/>
        <w:sz w:val="12"/>
        <w:szCs w:val="12"/>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CA21E9"/>
    <w:multiLevelType w:val="hybridMultilevel"/>
    <w:tmpl w:val="422875E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9AD3768"/>
    <w:multiLevelType w:val="hybridMultilevel"/>
    <w:tmpl w:val="A5148D30"/>
    <w:lvl w:ilvl="0" w:tplc="2EFE4A2C">
      <w:start w:val="1"/>
      <w:numFmt w:val="bullet"/>
      <w:lvlText w:val="►"/>
      <w:lvlJc w:val="left"/>
      <w:pPr>
        <w:ind w:left="720" w:hanging="360"/>
      </w:pPr>
      <w:rPr>
        <w:rFonts w:ascii="Arial" w:hAnsi="Arial" w:cs="Arial" w:hint="default"/>
        <w:color w:val="auto"/>
        <w:sz w:val="12"/>
        <w:szCs w:val="12"/>
      </w:rPr>
    </w:lvl>
    <w:lvl w:ilvl="1" w:tplc="2EFE4A2C">
      <w:start w:val="1"/>
      <w:numFmt w:val="bullet"/>
      <w:lvlText w:val="►"/>
      <w:lvlJc w:val="left"/>
      <w:pPr>
        <w:ind w:left="1440" w:hanging="360"/>
      </w:pPr>
      <w:rPr>
        <w:rFonts w:ascii="Arial" w:hAnsi="Arial" w:cs="Arial" w:hint="default"/>
        <w:color w:val="auto"/>
        <w:sz w:val="12"/>
        <w:szCs w:val="12"/>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2" w15:restartNumberingAfterBreak="0">
    <w:nsid w:val="4FB8131F"/>
    <w:multiLevelType w:val="hybridMultilevel"/>
    <w:tmpl w:val="EAEA9A0C"/>
    <w:lvl w:ilvl="0" w:tplc="2EFE4A2C">
      <w:start w:val="1"/>
      <w:numFmt w:val="bullet"/>
      <w:lvlText w:val="►"/>
      <w:lvlJc w:val="left"/>
      <w:pPr>
        <w:ind w:left="720" w:hanging="360"/>
      </w:pPr>
      <w:rPr>
        <w:rFonts w:ascii="Arial" w:hAnsi="Arial" w:cs="Arial" w:hint="default"/>
        <w:color w:val="auto"/>
        <w:sz w:val="12"/>
        <w:szCs w:val="12"/>
      </w:rPr>
    </w:lvl>
    <w:lvl w:ilvl="1" w:tplc="27E856D0">
      <w:numFmt w:val="bullet"/>
      <w:lvlText w:val="•"/>
      <w:lvlJc w:val="left"/>
      <w:pPr>
        <w:ind w:left="1440" w:hanging="360"/>
      </w:pPr>
      <w:rPr>
        <w:rFonts w:ascii="Times New Roman" w:eastAsia="Times New Roman" w:hAnsi="Times New Roman"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3" w15:restartNumberingAfterBreak="0">
    <w:nsid w:val="53D569FC"/>
    <w:multiLevelType w:val="hybridMultilevel"/>
    <w:tmpl w:val="FD960674"/>
    <w:lvl w:ilvl="0" w:tplc="F51CCC3C">
      <w:start w:val="1"/>
      <w:numFmt w:val="bullet"/>
      <w:pStyle w:val="a"/>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8DC3DEB"/>
    <w:multiLevelType w:val="hybridMultilevel"/>
    <w:tmpl w:val="443AB36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591E2B74"/>
    <w:multiLevelType w:val="hybridMultilevel"/>
    <w:tmpl w:val="7816492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5FB26B33"/>
    <w:multiLevelType w:val="hybridMultilevel"/>
    <w:tmpl w:val="BE762A6A"/>
    <w:lvl w:ilvl="0" w:tplc="72F6A82C">
      <w:start w:val="1"/>
      <w:numFmt w:val="bullet"/>
      <w:lvlText w:val="•"/>
      <w:lvlJc w:val="left"/>
      <w:pPr>
        <w:tabs>
          <w:tab w:val="num" w:pos="720"/>
        </w:tabs>
        <w:ind w:left="720" w:hanging="360"/>
      </w:pPr>
      <w:rPr>
        <w:rFonts w:ascii="EYInterstate" w:hAnsi="EYInterstate" w:cs="EYInterstate"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0D10A7F"/>
    <w:multiLevelType w:val="hybridMultilevel"/>
    <w:tmpl w:val="1F26680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60F01EF1"/>
    <w:multiLevelType w:val="hybridMultilevel"/>
    <w:tmpl w:val="A2BA604C"/>
    <w:lvl w:ilvl="0" w:tplc="C608CFA2">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9" w15:restartNumberingAfterBreak="0">
    <w:nsid w:val="66F17F98"/>
    <w:multiLevelType w:val="hybridMultilevel"/>
    <w:tmpl w:val="5BD2E4B8"/>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0540E63"/>
    <w:multiLevelType w:val="hybridMultilevel"/>
    <w:tmpl w:val="5178E3C6"/>
    <w:lvl w:ilvl="0" w:tplc="2EFE4A2C">
      <w:start w:val="1"/>
      <w:numFmt w:val="bullet"/>
      <w:lvlText w:val="►"/>
      <w:lvlJc w:val="left"/>
      <w:pPr>
        <w:ind w:left="720" w:hanging="360"/>
      </w:pPr>
      <w:rPr>
        <w:rFonts w:ascii="Arial" w:hAnsi="Arial" w:cs="Arial" w:hint="default"/>
        <w:color w:val="auto"/>
        <w:sz w:val="12"/>
        <w:szCs w:val="1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1" w15:restartNumberingAfterBreak="0">
    <w:nsid w:val="70AB28F4"/>
    <w:multiLevelType w:val="hybridMultilevel"/>
    <w:tmpl w:val="BE2AF530"/>
    <w:lvl w:ilvl="0" w:tplc="E0B2ABAE">
      <w:start w:val="1"/>
      <w:numFmt w:val="bullet"/>
      <w:lvlText w:val=""/>
      <w:lvlJc w:val="left"/>
      <w:pPr>
        <w:ind w:left="720" w:hanging="360"/>
      </w:pPr>
      <w:rPr>
        <w:rFonts w:ascii="Symbol" w:hAnsi="Symbol" w:cs="Symbol" w:hint="default"/>
        <w:caps w:val="0"/>
        <w:strike w:val="0"/>
        <w:dstrike w:val="0"/>
        <w:vanish w:val="0"/>
        <w:color w:val="auto"/>
        <w:sz w:val="20"/>
        <w:szCs w:val="20"/>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7B4D20"/>
    <w:multiLevelType w:val="hybridMultilevel"/>
    <w:tmpl w:val="3902540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755D41D5"/>
    <w:multiLevelType w:val="hybridMultilevel"/>
    <w:tmpl w:val="6B0E6EA2"/>
    <w:lvl w:ilvl="0" w:tplc="A1920D42">
      <w:start w:val="1"/>
      <w:numFmt w:val="bullet"/>
      <w:lvlText w:val=""/>
      <w:lvlJc w:val="left"/>
      <w:pPr>
        <w:ind w:left="720" w:hanging="360"/>
      </w:pPr>
      <w:rPr>
        <w:rFonts w:ascii="Symbol" w:hAnsi="Symbol" w:cs="Symbol" w:hint="default"/>
        <w:caps w:val="0"/>
        <w:strike w:val="0"/>
        <w:dstrike w:val="0"/>
        <w:vanish w:val="0"/>
        <w:color w:val="auto"/>
        <w:sz w:val="20"/>
        <w:szCs w:val="20"/>
        <w:u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072F0F"/>
    <w:multiLevelType w:val="hybridMultilevel"/>
    <w:tmpl w:val="CE6ECAC0"/>
    <w:lvl w:ilvl="0" w:tplc="E5489874">
      <w:start w:val="1"/>
      <w:numFmt w:val="bullet"/>
      <w:lvlText w:val=""/>
      <w:lvlPicBulletId w:val="0"/>
      <w:lvlJc w:val="left"/>
      <w:pPr>
        <w:ind w:left="360" w:hanging="360"/>
      </w:pPr>
      <w:rPr>
        <w:rFonts w:ascii="Symbol" w:hAnsi="Symbol"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6515225"/>
    <w:multiLevelType w:val="hybridMultilevel"/>
    <w:tmpl w:val="12FA869E"/>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6B831B4"/>
    <w:multiLevelType w:val="hybridMultilevel"/>
    <w:tmpl w:val="ED9615D6"/>
    <w:lvl w:ilvl="0" w:tplc="04090001">
      <w:start w:val="1"/>
      <w:numFmt w:val="bullet"/>
      <w:lvlText w:val=""/>
      <w:lvlJc w:val="left"/>
      <w:pPr>
        <w:ind w:left="720" w:hanging="360"/>
      </w:pPr>
      <w:rPr>
        <w:rFonts w:ascii="Symbol" w:hAnsi="Symbol" w:hint="default"/>
        <w:color w:val="auto"/>
        <w:sz w:val="12"/>
        <w:szCs w:val="1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C57D32"/>
    <w:multiLevelType w:val="hybridMultilevel"/>
    <w:tmpl w:val="5EA07F7C"/>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22"/>
  </w:num>
  <w:num w:numId="4">
    <w:abstractNumId w:val="23"/>
  </w:num>
  <w:num w:numId="5">
    <w:abstractNumId w:val="34"/>
  </w:num>
  <w:num w:numId="6">
    <w:abstractNumId w:val="18"/>
  </w:num>
  <w:num w:numId="7">
    <w:abstractNumId w:val="0"/>
  </w:num>
  <w:num w:numId="8">
    <w:abstractNumId w:val="37"/>
  </w:num>
  <w:num w:numId="9">
    <w:abstractNumId w:val="9"/>
  </w:num>
  <w:num w:numId="10">
    <w:abstractNumId w:val="12"/>
  </w:num>
  <w:num w:numId="11">
    <w:abstractNumId w:val="42"/>
  </w:num>
  <w:num w:numId="12">
    <w:abstractNumId w:val="30"/>
  </w:num>
  <w:num w:numId="13">
    <w:abstractNumId w:val="35"/>
  </w:num>
  <w:num w:numId="14">
    <w:abstractNumId w:val="14"/>
  </w:num>
  <w:num w:numId="15">
    <w:abstractNumId w:val="7"/>
  </w:num>
  <w:num w:numId="16">
    <w:abstractNumId w:val="10"/>
  </w:num>
  <w:num w:numId="17">
    <w:abstractNumId w:val="32"/>
  </w:num>
  <w:num w:numId="18">
    <w:abstractNumId w:val="1"/>
  </w:num>
  <w:num w:numId="19">
    <w:abstractNumId w:val="4"/>
  </w:num>
  <w:num w:numId="20">
    <w:abstractNumId w:val="31"/>
  </w:num>
  <w:num w:numId="21">
    <w:abstractNumId w:val="40"/>
  </w:num>
  <w:num w:numId="22">
    <w:abstractNumId w:val="16"/>
  </w:num>
  <w:num w:numId="23">
    <w:abstractNumId w:val="17"/>
  </w:num>
  <w:num w:numId="24">
    <w:abstractNumId w:val="36"/>
  </w:num>
  <w:num w:numId="25">
    <w:abstractNumId w:val="38"/>
  </w:num>
  <w:num w:numId="26">
    <w:abstractNumId w:val="44"/>
  </w:num>
  <w:num w:numId="27">
    <w:abstractNumId w:val="3"/>
  </w:num>
  <w:num w:numId="28">
    <w:abstractNumId w:val="27"/>
  </w:num>
  <w:num w:numId="29">
    <w:abstractNumId w:val="47"/>
  </w:num>
  <w:num w:numId="30">
    <w:abstractNumId w:val="21"/>
  </w:num>
  <w:num w:numId="31">
    <w:abstractNumId w:val="39"/>
  </w:num>
  <w:num w:numId="32">
    <w:abstractNumId w:val="45"/>
  </w:num>
  <w:num w:numId="33">
    <w:abstractNumId w:val="28"/>
  </w:num>
  <w:num w:numId="34">
    <w:abstractNumId w:val="33"/>
  </w:num>
  <w:num w:numId="35">
    <w:abstractNumId w:val="2"/>
  </w:num>
  <w:num w:numId="36">
    <w:abstractNumId w:val="26"/>
  </w:num>
  <w:num w:numId="37">
    <w:abstractNumId w:val="13"/>
  </w:num>
  <w:num w:numId="38">
    <w:abstractNumId w:val="20"/>
  </w:num>
  <w:num w:numId="39">
    <w:abstractNumId w:val="6"/>
  </w:num>
  <w:num w:numId="40">
    <w:abstractNumId w:val="41"/>
  </w:num>
  <w:num w:numId="41">
    <w:abstractNumId w:val="46"/>
  </w:num>
  <w:num w:numId="42">
    <w:abstractNumId w:val="43"/>
  </w:num>
  <w:num w:numId="43">
    <w:abstractNumId w:val="29"/>
  </w:num>
  <w:num w:numId="44">
    <w:abstractNumId w:val="5"/>
  </w:num>
  <w:num w:numId="45">
    <w:abstractNumId w:val="25"/>
  </w:num>
  <w:num w:numId="46">
    <w:abstractNumId w:val="15"/>
  </w:num>
  <w:num w:numId="47">
    <w:abstractNumId w:val="11"/>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6F3"/>
    <w:rsid w:val="0054425B"/>
    <w:rsid w:val="00AF4415"/>
    <w:rsid w:val="00FD0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35ABB98-9CEF-47DC-BC9D-668126177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style>
  <w:style w:type="paragraph" w:styleId="Heading1">
    <w:name w:val="heading 1"/>
    <w:basedOn w:val="Normal"/>
    <w:next w:val="Normal"/>
    <w:link w:val="Heading1Char"/>
    <w:uiPriority w:val="99"/>
    <w:qFormat/>
    <w:locke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autoRedefine/>
    <w:uiPriority w:val="99"/>
    <w:qFormat/>
    <w:pPr>
      <w:ind w:left="567" w:hanging="567"/>
      <w:outlineLvl w:val="2"/>
    </w:pPr>
    <w:rPr>
      <w:b/>
      <w:bCs/>
      <w:caps/>
    </w:rPr>
  </w:style>
  <w:style w:type="paragraph" w:styleId="Heading4">
    <w:name w:val="heading 4"/>
    <w:basedOn w:val="Normal"/>
    <w:next w:val="Normal"/>
    <w:link w:val="Heading4Char"/>
    <w:uiPriority w:val="9"/>
    <w:semiHidden/>
    <w:unhideWhenUsed/>
    <w:qFormat/>
    <w:locked/>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8">
    <w:name w:val="heading 8"/>
    <w:basedOn w:val="Normal"/>
    <w:next w:val="Normal"/>
    <w:link w:val="Heading8Char"/>
    <w:uiPriority w:val="99"/>
    <w:qFormat/>
    <w:pPr>
      <w:keepNext/>
      <w:widowControl w:val="0"/>
      <w:overflowPunct w:val="0"/>
      <w:autoSpaceDE w:val="0"/>
      <w:autoSpaceDN w:val="0"/>
      <w:adjustRightInd w:val="0"/>
      <w:ind w:right="13"/>
      <w:jc w:val="center"/>
      <w:textAlignment w:val="baseline"/>
      <w:outlineLvl w:val="7"/>
    </w:pPr>
    <w:rPr>
      <w:rFonts w:ascii="Calibri" w:hAnsi="Calibri"/>
      <w:i/>
      <w:iCs/>
      <w:sz w:val="24"/>
      <w:szCs w:val="24"/>
    </w:rPr>
  </w:style>
  <w:style w:type="paragraph" w:styleId="Heading9">
    <w:name w:val="heading 9"/>
    <w:basedOn w:val="Normal"/>
    <w:next w:val="Normal"/>
    <w:link w:val="Heading9Char"/>
    <w:uiPriority w:val="99"/>
    <w:qFormat/>
    <w:pPr>
      <w:keepNext/>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Cambria"/>
      <w:b/>
      <w:bCs/>
      <w:kern w:val="32"/>
      <w:sz w:val="32"/>
      <w:szCs w:val="32"/>
    </w:rPr>
  </w:style>
  <w:style w:type="character" w:customStyle="1" w:styleId="Heading2Char">
    <w:name w:val="Heading 2 Char"/>
    <w:link w:val="Heading2"/>
    <w:uiPriority w:val="99"/>
    <w:semiHidden/>
    <w:locked/>
    <w:rPr>
      <w:rFonts w:ascii="Cambria" w:hAnsi="Cambria" w:cs="Cambria"/>
      <w:b/>
      <w:bCs/>
      <w:color w:val="4F81BD"/>
      <w:sz w:val="26"/>
      <w:szCs w:val="26"/>
    </w:rPr>
  </w:style>
  <w:style w:type="character" w:customStyle="1" w:styleId="Heading3Char">
    <w:name w:val="Heading 3 Char"/>
    <w:link w:val="Heading3"/>
    <w:uiPriority w:val="99"/>
    <w:locked/>
    <w:rPr>
      <w:b/>
      <w:bCs/>
      <w:caps/>
      <w:lang w:val="ru-RU" w:eastAsia="ru-RU"/>
    </w:rPr>
  </w:style>
  <w:style w:type="character" w:customStyle="1" w:styleId="Heading8Char">
    <w:name w:val="Heading 8 Char"/>
    <w:link w:val="Heading8"/>
    <w:uiPriority w:val="99"/>
    <w:semiHidden/>
    <w:locked/>
    <w:rPr>
      <w:rFonts w:ascii="Calibri" w:hAnsi="Calibri" w:cs="Calibri"/>
      <w:i/>
      <w:iCs/>
      <w:sz w:val="24"/>
      <w:szCs w:val="24"/>
      <w:lang w:val="ru-RU" w:eastAsia="ru-RU"/>
    </w:rPr>
  </w:style>
  <w:style w:type="character" w:customStyle="1" w:styleId="Heading9Char">
    <w:name w:val="Heading 9 Char"/>
    <w:link w:val="Heading9"/>
    <w:uiPriority w:val="99"/>
    <w:semiHidden/>
    <w:locked/>
    <w:rPr>
      <w:rFonts w:ascii="Cambria" w:hAnsi="Cambria" w:cs="Cambria"/>
      <w:lang w:val="ru-RU" w:eastAsia="ru-RU"/>
    </w:rPr>
  </w:style>
  <w:style w:type="paragraph" w:customStyle="1" w:styleId="Level3">
    <w:name w:val="Level3"/>
    <w:basedOn w:val="Normal"/>
    <w:link w:val="Level3Char"/>
    <w:uiPriority w:val="99"/>
    <w:pPr>
      <w:spacing w:after="120"/>
      <w:outlineLvl w:val="2"/>
    </w:pPr>
    <w:rPr>
      <w:b/>
      <w:bCs/>
    </w:rPr>
  </w:style>
  <w:style w:type="character" w:customStyle="1" w:styleId="Level3Char">
    <w:name w:val="Level3 Char"/>
    <w:link w:val="Level3"/>
    <w:uiPriority w:val="99"/>
    <w:locked/>
    <w:rPr>
      <w:b/>
      <w:bCs/>
      <w:lang w:val="ru-RU" w:eastAsia="ru-RU"/>
    </w:rPr>
  </w:style>
  <w:style w:type="paragraph" w:customStyle="1" w:styleId="level2">
    <w:name w:val="level2"/>
    <w:basedOn w:val="Level1"/>
    <w:link w:val="level2Char"/>
    <w:uiPriority w:val="99"/>
    <w:pPr>
      <w:spacing w:before="120"/>
      <w:outlineLvl w:val="1"/>
    </w:pPr>
    <w:rPr>
      <w:snapToGrid w:val="0"/>
      <w:sz w:val="20"/>
      <w:szCs w:val="20"/>
    </w:rPr>
  </w:style>
  <w:style w:type="paragraph" w:customStyle="1" w:styleId="Level1">
    <w:name w:val="Level 1"/>
    <w:uiPriority w:val="99"/>
    <w:pPr>
      <w:widowControl w:val="0"/>
      <w:tabs>
        <w:tab w:val="left" w:pos="0"/>
        <w:tab w:val="num" w:pos="360"/>
      </w:tabs>
      <w:spacing w:after="288"/>
      <w:ind w:left="340" w:hanging="340"/>
    </w:pPr>
    <w:rPr>
      <w:b/>
      <w:bCs/>
      <w:caps/>
      <w:color w:val="000000"/>
      <w:sz w:val="24"/>
      <w:szCs w:val="24"/>
    </w:rPr>
  </w:style>
  <w:style w:type="character" w:customStyle="1" w:styleId="level2Char">
    <w:name w:val="level2 Char"/>
    <w:link w:val="level2"/>
    <w:uiPriority w:val="99"/>
    <w:locked/>
    <w:rPr>
      <w:b/>
      <w:bCs/>
      <w:caps/>
      <w:snapToGrid w:val="0"/>
      <w:color w:val="000000"/>
      <w:lang w:val="ru-RU" w:eastAsia="ru-RU"/>
    </w:rPr>
  </w:style>
  <w:style w:type="paragraph" w:customStyle="1" w:styleId="level20">
    <w:name w:val="level 2"/>
    <w:basedOn w:val="Level1"/>
    <w:link w:val="level2Char0"/>
    <w:uiPriority w:val="99"/>
    <w:pPr>
      <w:spacing w:before="120"/>
      <w:outlineLvl w:val="1"/>
    </w:pPr>
    <w:rPr>
      <w:snapToGrid w:val="0"/>
      <w:sz w:val="20"/>
      <w:szCs w:val="20"/>
    </w:rPr>
  </w:style>
  <w:style w:type="character" w:customStyle="1" w:styleId="level2Char0">
    <w:name w:val="level 2 Char"/>
    <w:link w:val="level20"/>
    <w:uiPriority w:val="99"/>
    <w:locked/>
    <w:rPr>
      <w:b/>
      <w:bCs/>
      <w:caps/>
      <w:snapToGrid w:val="0"/>
      <w:color w:val="000000"/>
      <w:lang w:val="ru-RU" w:eastAsia="ru-RU"/>
    </w:rPr>
  </w:style>
  <w:style w:type="paragraph" w:styleId="Header">
    <w:name w:val="header"/>
    <w:basedOn w:val="Normal"/>
    <w:link w:val="HeaderChar"/>
    <w:pPr>
      <w:tabs>
        <w:tab w:val="center" w:pos="4677"/>
        <w:tab w:val="right" w:pos="9355"/>
      </w:tabs>
    </w:pPr>
  </w:style>
  <w:style w:type="character" w:customStyle="1" w:styleId="HeaderChar">
    <w:name w:val="Header Char"/>
    <w:basedOn w:val="DefaultParagraphFont"/>
    <w:link w:val="Header"/>
    <w:locked/>
  </w:style>
  <w:style w:type="paragraph" w:customStyle="1" w:styleId="level10">
    <w:name w:val="level 1"/>
    <w:basedOn w:val="Normal"/>
    <w:uiPriority w:val="99"/>
    <w:pPr>
      <w:widowControl w:val="0"/>
      <w:jc w:val="center"/>
      <w:outlineLvl w:val="0"/>
    </w:pPr>
    <w:rPr>
      <w:rFonts w:ascii="EYInterstate Light" w:hAnsi="EYInterstate Light" w:cs="EYInterstate Light"/>
      <w:sz w:val="26"/>
      <w:szCs w:val="26"/>
    </w:rPr>
  </w:style>
  <w:style w:type="paragraph" w:customStyle="1" w:styleId="BoldTabletext">
    <w:name w:val="BoldTabletext"/>
    <w:basedOn w:val="Tabletext"/>
    <w:uiPriority w:val="99"/>
    <w:rPr>
      <w:b/>
      <w:bCs/>
    </w:rPr>
  </w:style>
  <w:style w:type="paragraph" w:customStyle="1" w:styleId="Tabletext">
    <w:name w:val="Tabletext"/>
    <w:basedOn w:val="Text33"/>
    <w:pPr>
      <w:spacing w:after="0"/>
    </w:pPr>
    <w:rPr>
      <w:sz w:val="18"/>
      <w:szCs w:val="18"/>
    </w:rPr>
  </w:style>
  <w:style w:type="paragraph" w:customStyle="1" w:styleId="Text33">
    <w:name w:val="Text 33"/>
    <w:basedOn w:val="Normal"/>
    <w:next w:val="Normal"/>
    <w:link w:val="Text33Char"/>
    <w:uiPriority w:val="99"/>
    <w:pPr>
      <w:spacing w:after="120"/>
    </w:pPr>
  </w:style>
  <w:style w:type="character" w:customStyle="1" w:styleId="Text33Char">
    <w:name w:val="Text 33 Char"/>
    <w:link w:val="Text33"/>
    <w:uiPriority w:val="99"/>
    <w:locked/>
    <w:rPr>
      <w:lang w:val="ru-RU" w:eastAsia="ru-RU"/>
    </w:rPr>
  </w:style>
  <w:style w:type="paragraph" w:styleId="Footer">
    <w:name w:val="footer"/>
    <w:basedOn w:val="Normal"/>
    <w:link w:val="FooterChar"/>
    <w:uiPriority w:val="99"/>
    <w:pPr>
      <w:tabs>
        <w:tab w:val="center" w:pos="4677"/>
        <w:tab w:val="right" w:pos="9355"/>
      </w:tabs>
    </w:pPr>
    <w:rPr>
      <w:rFonts w:ascii="Arial" w:hAnsi="Arial"/>
      <w:sz w:val="18"/>
      <w:szCs w:val="18"/>
    </w:rPr>
  </w:style>
  <w:style w:type="character" w:customStyle="1" w:styleId="FooterChar">
    <w:name w:val="Footer Char"/>
    <w:link w:val="Footer"/>
    <w:uiPriority w:val="99"/>
    <w:locked/>
    <w:rPr>
      <w:rFonts w:ascii="Arial" w:hAnsi="Arial" w:cs="Arial"/>
      <w:sz w:val="18"/>
      <w:szCs w:val="18"/>
      <w:lang w:val="ru-RU" w:eastAsia="ru-RU"/>
    </w:rPr>
  </w:style>
  <w:style w:type="character" w:styleId="Hyperlink">
    <w:name w:val="Hyperlink"/>
    <w:uiPriority w:val="99"/>
    <w:rPr>
      <w:color w:val="0000FF"/>
      <w:u w:val="single"/>
    </w:rPr>
  </w:style>
  <w:style w:type="paragraph" w:styleId="TOC1">
    <w:name w:val="toc 1"/>
    <w:basedOn w:val="Normal"/>
    <w:next w:val="Normal"/>
    <w:autoRedefine/>
    <w:uiPriority w:val="39"/>
    <w:pPr>
      <w:tabs>
        <w:tab w:val="left" w:pos="1559"/>
        <w:tab w:val="right" w:pos="9236"/>
      </w:tabs>
      <w:ind w:left="1559" w:right="142" w:hanging="567"/>
      <w:jc w:val="left"/>
    </w:pPr>
    <w:rPr>
      <w:rFonts w:ascii="EYInterstate Light" w:hAnsi="EYInterstate Light" w:cs="EYInterstate Light"/>
      <w:noProof/>
      <w:sz w:val="22"/>
      <w:szCs w:val="22"/>
    </w:rPr>
  </w:style>
  <w:style w:type="paragraph" w:customStyle="1" w:styleId="TableText0">
    <w:name w:val="Table Text"/>
    <w:uiPriority w:val="99"/>
    <w:pPr>
      <w:widowControl w:val="0"/>
    </w:pPr>
    <w:rPr>
      <w:color w:val="000000"/>
      <w:sz w:val="18"/>
      <w:szCs w:val="18"/>
    </w:rPr>
  </w:style>
  <w:style w:type="paragraph" w:customStyle="1" w:styleId="ABCFootnote">
    <w:name w:val="ABC Footnote"/>
    <w:basedOn w:val="FootnoteText"/>
    <w:uiPriority w:val="99"/>
    <w:rPr>
      <w:sz w:val="18"/>
      <w:szCs w:val="18"/>
    </w:rPr>
  </w:style>
  <w:style w:type="paragraph" w:styleId="FootnoteText">
    <w:name w:val="footnote text"/>
    <w:basedOn w:val="Normal"/>
    <w:link w:val="FootnoteTextChar"/>
    <w:uiPriority w:val="99"/>
    <w:semiHidden/>
  </w:style>
  <w:style w:type="character" w:customStyle="1" w:styleId="FootnoteTextChar">
    <w:name w:val="Footnote Text Char"/>
    <w:link w:val="FootnoteText"/>
    <w:uiPriority w:val="99"/>
    <w:semiHidden/>
    <w:locked/>
    <w:rPr>
      <w:sz w:val="20"/>
      <w:szCs w:val="20"/>
      <w:lang w:val="ru-RU" w:eastAsia="ru-RU"/>
    </w:rPr>
  </w:style>
  <w:style w:type="paragraph" w:customStyle="1" w:styleId="ABC-paragrahinNotes">
    <w:name w:val="ABC - paragrah in Notes"/>
    <w:uiPriority w:val="99"/>
    <w:pPr>
      <w:spacing w:after="240"/>
      <w:jc w:val="both"/>
    </w:pPr>
  </w:style>
  <w:style w:type="paragraph" w:styleId="BodyText">
    <w:name w:val="Body Text"/>
    <w:basedOn w:val="Normal"/>
    <w:link w:val="BodyTextChar"/>
    <w:uiPriority w:val="99"/>
    <w:pPr>
      <w:jc w:val="center"/>
    </w:pPr>
    <w:rPr>
      <w:rFonts w:ascii="Arial" w:hAnsi="Arial"/>
      <w:b/>
      <w:bCs/>
    </w:rPr>
  </w:style>
  <w:style w:type="character" w:customStyle="1" w:styleId="BodyTextChar">
    <w:name w:val="Body Text Char"/>
    <w:link w:val="BodyText"/>
    <w:uiPriority w:val="99"/>
    <w:locked/>
    <w:rPr>
      <w:rFonts w:ascii="Arial" w:hAnsi="Arial" w:cs="Arial"/>
      <w:b/>
      <w:bCs/>
      <w:lang w:val="ru-RU" w:eastAsia="ru-RU"/>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rFonts w:ascii="Arial" w:hAnsi="Arial"/>
    </w:rPr>
  </w:style>
  <w:style w:type="character" w:customStyle="1" w:styleId="CommentTextChar">
    <w:name w:val="Comment Text Char"/>
    <w:link w:val="CommentText"/>
    <w:uiPriority w:val="99"/>
    <w:locked/>
    <w:rPr>
      <w:rFonts w:ascii="Arial" w:hAnsi="Arial" w:cs="Arial"/>
    </w:rPr>
  </w:style>
  <w:style w:type="paragraph" w:styleId="BalloonText">
    <w:name w:val="Balloon Text"/>
    <w:basedOn w:val="Normal"/>
    <w:link w:val="BalloonTextChar"/>
    <w:uiPriority w:val="99"/>
    <w:semiHidden/>
    <w:rPr>
      <w:sz w:val="2"/>
      <w:szCs w:val="2"/>
    </w:rPr>
  </w:style>
  <w:style w:type="character" w:customStyle="1" w:styleId="BalloonTextChar">
    <w:name w:val="Balloon Text Char"/>
    <w:link w:val="BalloonText"/>
    <w:uiPriority w:val="99"/>
    <w:semiHidden/>
    <w:locked/>
    <w:rPr>
      <w:sz w:val="2"/>
      <w:szCs w:val="2"/>
      <w:lang w:val="ru-RU" w:eastAsia="ru-RU"/>
    </w:rPr>
  </w:style>
  <w:style w:type="paragraph" w:styleId="TOC2">
    <w:name w:val="toc 2"/>
    <w:basedOn w:val="Normal"/>
    <w:next w:val="Normal"/>
    <w:autoRedefine/>
    <w:uiPriority w:val="39"/>
    <w:pPr>
      <w:tabs>
        <w:tab w:val="left" w:pos="567"/>
        <w:tab w:val="right" w:leader="dot" w:pos="9322"/>
      </w:tabs>
      <w:ind w:left="567" w:hanging="567"/>
    </w:pPr>
    <w:rPr>
      <w:smallCaps/>
    </w:rPr>
  </w:style>
  <w:style w:type="paragraph" w:customStyle="1" w:styleId="ABC-BulletsinNotes">
    <w:name w:val="ABC - Bullets in Notes"/>
    <w:uiPriority w:val="99"/>
    <w:pPr>
      <w:tabs>
        <w:tab w:val="num" w:pos="567"/>
        <w:tab w:val="left" w:pos="851"/>
      </w:tabs>
      <w:spacing w:after="240"/>
      <w:ind w:left="567" w:hanging="567"/>
      <w:jc w:val="both"/>
    </w:pPr>
  </w:style>
  <w:style w:type="paragraph" w:customStyle="1" w:styleId="BodySingle">
    <w:name w:val="Body Single"/>
    <w:basedOn w:val="BodyText"/>
    <w:uiPriority w:val="99"/>
    <w:pPr>
      <w:spacing w:line="290" w:lineRule="atLeast"/>
      <w:jc w:val="left"/>
    </w:pPr>
    <w:rPr>
      <w:b w:val="0"/>
      <w:bCs w:val="0"/>
      <w:sz w:val="24"/>
      <w:szCs w:val="24"/>
    </w:rPr>
  </w:style>
  <w:style w:type="paragraph" w:customStyle="1" w:styleId="TitreABC2">
    <w:name w:val="Titre ABC2"/>
    <w:basedOn w:val="Index2"/>
    <w:uiPriority w:val="99"/>
    <w:pPr>
      <w:tabs>
        <w:tab w:val="right" w:leader="dot" w:pos="8782"/>
      </w:tabs>
      <w:ind w:left="198" w:hanging="198"/>
    </w:pPr>
    <w:rPr>
      <w:b/>
      <w:bCs/>
    </w:rPr>
  </w:style>
  <w:style w:type="paragraph" w:styleId="Index2">
    <w:name w:val="index 2"/>
    <w:basedOn w:val="Normal"/>
    <w:next w:val="Normal"/>
    <w:autoRedefine/>
    <w:uiPriority w:val="99"/>
    <w:semiHidden/>
    <w:pPr>
      <w:ind w:left="360" w:hanging="180"/>
    </w:pPr>
  </w:style>
  <w:style w:type="paragraph" w:customStyle="1" w:styleId="sectionheading">
    <w:name w:val="section heading"/>
    <w:basedOn w:val="Normal"/>
    <w:uiPriority w:val="99"/>
    <w:pPr>
      <w:overflowPunct w:val="0"/>
      <w:autoSpaceDE w:val="0"/>
      <w:autoSpaceDN w:val="0"/>
      <w:adjustRightInd w:val="0"/>
      <w:textAlignment w:val="baseline"/>
    </w:pPr>
    <w:rPr>
      <w:rFonts w:ascii="Times" w:hAnsi="Times" w:cs="Times"/>
      <w:b/>
      <w:bCs/>
      <w:noProof/>
      <w:sz w:val="24"/>
      <w:szCs w:val="24"/>
    </w:rPr>
  </w:style>
  <w:style w:type="paragraph" w:customStyle="1" w:styleId="level4">
    <w:name w:val="level 4"/>
    <w:basedOn w:val="Text33"/>
    <w:uiPriority w:val="99"/>
    <w:rPr>
      <w:i/>
      <w:iCs/>
    </w:rPr>
  </w:style>
  <w:style w:type="paragraph" w:customStyle="1" w:styleId="a0">
    <w:name w:val="Стиль"/>
    <w:basedOn w:val="Normal"/>
    <w:uiPriority w:val="99"/>
    <w:pPr>
      <w:spacing w:after="160" w:line="240" w:lineRule="exact"/>
    </w:pPr>
  </w:style>
  <w:style w:type="paragraph" w:customStyle="1" w:styleId="CharChar1">
    <w:name w:val="Char Char1"/>
    <w:basedOn w:val="Normal"/>
    <w:uiPriority w:val="99"/>
    <w:pPr>
      <w:spacing w:after="160" w:line="240" w:lineRule="exact"/>
    </w:pPr>
  </w:style>
  <w:style w:type="table" w:styleId="TableGrid">
    <w:name w:val="Table Grid"/>
    <w:basedOn w:val="TableNormal"/>
    <w:uiPriority w:val="9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
    <w:name w:val="Char Char1 Знак Знак Char Char"/>
    <w:basedOn w:val="Normal"/>
    <w:uiPriority w:val="99"/>
    <w:pPr>
      <w:spacing w:after="160" w:line="240" w:lineRule="exact"/>
    </w:pPr>
  </w:style>
  <w:style w:type="paragraph" w:customStyle="1" w:styleId="SingleParaAlt">
    <w:name w:val="Single Para Alt"/>
    <w:aliases w:val="spa"/>
    <w:basedOn w:val="Normal"/>
    <w:uiPriority w:val="99"/>
    <w:pPr>
      <w:autoSpaceDE w:val="0"/>
      <w:autoSpaceDN w:val="0"/>
      <w:adjustRightInd w:val="0"/>
      <w:spacing w:before="200" w:after="200"/>
      <w:ind w:firstLine="720"/>
    </w:pPr>
    <w:rPr>
      <w:rFonts w:eastAsia="SimSun"/>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ascii="Arial" w:hAnsi="Arial" w:cs="Arial"/>
      <w:b/>
      <w:bCs/>
      <w:sz w:val="20"/>
      <w:szCs w:val="20"/>
      <w:lang w:val="ru-RU" w:eastAsia="ru-RU"/>
    </w:rPr>
  </w:style>
  <w:style w:type="paragraph" w:customStyle="1" w:styleId="CharChar2">
    <w:name w:val="Char Char2 Знак Знак"/>
    <w:basedOn w:val="Normal"/>
    <w:uiPriority w:val="99"/>
    <w:pPr>
      <w:spacing w:after="160" w:line="240" w:lineRule="exact"/>
    </w:pPr>
  </w:style>
  <w:style w:type="paragraph" w:styleId="TOC6">
    <w:name w:val="toc 6"/>
    <w:basedOn w:val="Normal"/>
    <w:next w:val="Normal"/>
    <w:autoRedefine/>
    <w:uiPriority w:val="39"/>
    <w:pPr>
      <w:ind w:left="900"/>
    </w:pPr>
  </w:style>
  <w:style w:type="paragraph" w:customStyle="1" w:styleId="CharChar10">
    <w:name w:val="Char Char1 Знак Знак"/>
    <w:basedOn w:val="Normal"/>
    <w:uiPriority w:val="99"/>
    <w:pPr>
      <w:spacing w:after="160" w:line="240" w:lineRule="exact"/>
    </w:pPr>
  </w:style>
  <w:style w:type="paragraph" w:customStyle="1" w:styleId="CharChar2CharChar">
    <w:name w:val="Char Char2 Char Char"/>
    <w:basedOn w:val="Normal"/>
    <w:uiPriority w:val="99"/>
    <w:pPr>
      <w:spacing w:after="160" w:line="240" w:lineRule="exact"/>
    </w:pPr>
  </w:style>
  <w:style w:type="paragraph" w:customStyle="1" w:styleId="CharChar">
    <w:name w:val="Char Char"/>
    <w:basedOn w:val="Normal"/>
    <w:uiPriority w:val="99"/>
    <w:pPr>
      <w:spacing w:after="160" w:line="240" w:lineRule="exact"/>
    </w:pPr>
  </w:style>
  <w:style w:type="paragraph" w:styleId="TOC5">
    <w:name w:val="toc 5"/>
    <w:basedOn w:val="Normal"/>
    <w:next w:val="Normal"/>
    <w:autoRedefine/>
    <w:uiPriority w:val="39"/>
    <w:pPr>
      <w:ind w:left="720"/>
    </w:pPr>
  </w:style>
  <w:style w:type="paragraph" w:customStyle="1" w:styleId="1">
    <w:name w:val="Абзац списка1"/>
    <w:basedOn w:val="Normal"/>
    <w:uiPriority w:val="99"/>
    <w:pPr>
      <w:ind w:left="720"/>
    </w:pPr>
  </w:style>
  <w:style w:type="paragraph" w:customStyle="1" w:styleId="000Normal">
    <w:name w:val="000 Normal"/>
    <w:basedOn w:val="Normal"/>
    <w:link w:val="000NormalChar"/>
    <w:uiPriority w:val="99"/>
    <w:pPr>
      <w:overflowPunct w:val="0"/>
      <w:autoSpaceDE w:val="0"/>
      <w:autoSpaceDN w:val="0"/>
      <w:adjustRightInd w:val="0"/>
      <w:spacing w:before="60" w:after="40" w:line="220" w:lineRule="exact"/>
      <w:textAlignment w:val="baseline"/>
    </w:pPr>
    <w:rPr>
      <w:rFonts w:ascii="Garamond" w:hAnsi="Garamond"/>
    </w:rPr>
  </w:style>
  <w:style w:type="character" w:customStyle="1" w:styleId="000NormalChar">
    <w:name w:val="000 Normal Char"/>
    <w:link w:val="000Normal"/>
    <w:uiPriority w:val="99"/>
    <w:locked/>
    <w:rPr>
      <w:rFonts w:ascii="Garamond" w:hAnsi="Garamond" w:cs="Garamond"/>
      <w:lang w:val="ru-RU"/>
    </w:rPr>
  </w:style>
  <w:style w:type="paragraph" w:customStyle="1" w:styleId="AAheadingwocontents">
    <w:name w:val="AA heading wo contents"/>
    <w:basedOn w:val="Normal"/>
    <w:uiPriority w:val="99"/>
    <w:pPr>
      <w:spacing w:line="280" w:lineRule="atLeast"/>
    </w:pPr>
    <w:rPr>
      <w:b/>
      <w:bCs/>
      <w:sz w:val="22"/>
      <w:szCs w:val="22"/>
    </w:rPr>
  </w:style>
  <w:style w:type="paragraph" w:customStyle="1" w:styleId="StandaardOpinion">
    <w:name w:val="StandaardOpinion"/>
    <w:basedOn w:val="Normal"/>
    <w:uiPriority w:val="99"/>
    <w:pPr>
      <w:spacing w:line="280" w:lineRule="atLeast"/>
    </w:pPr>
    <w:rPr>
      <w:sz w:val="22"/>
      <w:szCs w:val="22"/>
    </w:rPr>
  </w:style>
  <w:style w:type="paragraph" w:customStyle="1" w:styleId="CharChar2CharChar1">
    <w:name w:val="Char Char2 Char Char1"/>
    <w:basedOn w:val="Normal"/>
    <w:uiPriority w:val="99"/>
    <w:pPr>
      <w:spacing w:after="160" w:line="240" w:lineRule="exact"/>
    </w:pPr>
  </w:style>
  <w:style w:type="paragraph" w:customStyle="1" w:styleId="10">
    <w:name w:val="Рецензия1"/>
    <w:hidden/>
    <w:uiPriority w:val="99"/>
    <w:semiHidden/>
    <w:rPr>
      <w:rFonts w:ascii="Arial" w:hAnsi="Arial" w:cs="Arial"/>
      <w:sz w:val="18"/>
      <w:szCs w:val="18"/>
    </w:rPr>
  </w:style>
  <w:style w:type="paragraph" w:customStyle="1" w:styleId="CharChar20">
    <w:name w:val="Char Char2"/>
    <w:basedOn w:val="Normal"/>
    <w:uiPriority w:val="99"/>
    <w:pPr>
      <w:spacing w:after="160" w:line="240" w:lineRule="exact"/>
    </w:pPr>
  </w:style>
  <w:style w:type="paragraph" w:customStyle="1" w:styleId="Pa5">
    <w:name w:val="Pa5"/>
    <w:basedOn w:val="Normal"/>
    <w:next w:val="Normal"/>
    <w:uiPriority w:val="99"/>
    <w:pPr>
      <w:autoSpaceDE w:val="0"/>
      <w:autoSpaceDN w:val="0"/>
      <w:adjustRightInd w:val="0"/>
      <w:spacing w:line="181" w:lineRule="atLeast"/>
    </w:pPr>
    <w:rPr>
      <w:rFonts w:ascii="Univers 45 Light" w:hAnsi="Univers 45 Light" w:cs="Univers 45 Light"/>
      <w:sz w:val="24"/>
      <w:szCs w:val="24"/>
    </w:rPr>
  </w:style>
  <w:style w:type="paragraph" w:customStyle="1" w:styleId="Pa10">
    <w:name w:val="Pa10"/>
    <w:basedOn w:val="Normal"/>
    <w:next w:val="Normal"/>
    <w:uiPriority w:val="99"/>
    <w:pPr>
      <w:autoSpaceDE w:val="0"/>
      <w:autoSpaceDN w:val="0"/>
      <w:adjustRightInd w:val="0"/>
      <w:spacing w:line="181" w:lineRule="atLeast"/>
    </w:pPr>
    <w:rPr>
      <w:rFonts w:ascii="Univers 45 Light" w:hAnsi="Univers 45 Light" w:cs="Univers 45 Light"/>
      <w:sz w:val="24"/>
      <w:szCs w:val="24"/>
    </w:rPr>
  </w:style>
  <w:style w:type="paragraph" w:customStyle="1" w:styleId="4">
    <w:name w:val="4"/>
    <w:basedOn w:val="Normal"/>
    <w:uiPriority w:val="99"/>
    <w:pPr>
      <w:spacing w:before="100" w:beforeAutospacing="1" w:after="100" w:afterAutospacing="1"/>
    </w:pPr>
    <w:rPr>
      <w:sz w:val="24"/>
      <w:szCs w:val="24"/>
    </w:rPr>
  </w:style>
  <w:style w:type="character" w:customStyle="1" w:styleId="shorttext">
    <w:name w:val="short_text"/>
    <w:basedOn w:val="DefaultParagraphFont"/>
    <w:uiPriority w:val="99"/>
  </w:style>
  <w:style w:type="character" w:customStyle="1" w:styleId="hps">
    <w:name w:val="hps"/>
    <w:basedOn w:val="DefaultParagraphFont"/>
    <w:uiPriority w:val="99"/>
  </w:style>
  <w:style w:type="paragraph" w:styleId="DocumentMap">
    <w:name w:val="Document Map"/>
    <w:basedOn w:val="Normal"/>
    <w:link w:val="DocumentMapChar"/>
    <w:uiPriority w:val="99"/>
    <w:semiHidden/>
    <w:pPr>
      <w:shd w:val="clear" w:color="auto" w:fill="000080"/>
    </w:pPr>
    <w:rPr>
      <w:sz w:val="2"/>
      <w:szCs w:val="2"/>
    </w:rPr>
  </w:style>
  <w:style w:type="character" w:customStyle="1" w:styleId="DocumentMapChar">
    <w:name w:val="Document Map Char"/>
    <w:link w:val="DocumentMap"/>
    <w:uiPriority w:val="99"/>
    <w:semiHidden/>
    <w:locked/>
    <w:rPr>
      <w:sz w:val="2"/>
      <w:szCs w:val="2"/>
      <w:lang w:val="ru-RU" w:eastAsia="ru-RU"/>
    </w:rPr>
  </w:style>
  <w:style w:type="paragraph" w:customStyle="1" w:styleId="Indent">
    <w:name w:val="Indent"/>
    <w:uiPriority w:val="99"/>
    <w:pPr>
      <w:widowControl w:val="0"/>
      <w:spacing w:after="288"/>
      <w:ind w:left="357"/>
      <w:jc w:val="both"/>
    </w:pPr>
    <w:rPr>
      <w:color w:val="000000"/>
    </w:rPr>
  </w:style>
  <w:style w:type="paragraph" w:customStyle="1" w:styleId="Default">
    <w:name w:val="Default"/>
    <w:pPr>
      <w:autoSpaceDE w:val="0"/>
      <w:autoSpaceDN w:val="0"/>
      <w:adjustRightInd w:val="0"/>
    </w:pPr>
    <w:rPr>
      <w:rFonts w:ascii="EYInterstate" w:hAnsi="EYInterstate" w:cs="EYInterstate"/>
      <w:color w:val="000000"/>
      <w:sz w:val="24"/>
      <w:szCs w:val="24"/>
    </w:rPr>
  </w:style>
  <w:style w:type="paragraph" w:styleId="Revision">
    <w:name w:val="Revision"/>
    <w:hidden/>
    <w:uiPriority w:val="99"/>
    <w:semiHidden/>
    <w:rPr>
      <w:rFonts w:ascii="Arial" w:hAnsi="Arial" w:cs="Arial"/>
      <w:sz w:val="18"/>
      <w:szCs w:val="18"/>
    </w:rPr>
  </w:style>
  <w:style w:type="paragraph" w:customStyle="1" w:styleId="level21">
    <w:name w:val="level_2"/>
    <w:basedOn w:val="level20"/>
    <w:link w:val="level2Char1"/>
    <w:uiPriority w:val="99"/>
    <w:pPr>
      <w:tabs>
        <w:tab w:val="clear" w:pos="0"/>
        <w:tab w:val="clear" w:pos="360"/>
      </w:tabs>
      <w:spacing w:before="0" w:after="0"/>
      <w:ind w:left="567" w:hanging="567"/>
    </w:pPr>
    <w:rPr>
      <w:rFonts w:ascii="Times New Roman Bold" w:hAnsi="Times New Roman Bold"/>
    </w:rPr>
  </w:style>
  <w:style w:type="character" w:customStyle="1" w:styleId="level2Char1">
    <w:name w:val="level_2 Char"/>
    <w:link w:val="level21"/>
    <w:uiPriority w:val="99"/>
    <w:locked/>
    <w:rPr>
      <w:rFonts w:ascii="Times New Roman Bold" w:hAnsi="Times New Roman Bold" w:cs="Times New Roman Bold"/>
      <w:b/>
      <w:bCs/>
      <w:caps/>
      <w:snapToGrid w:val="0"/>
      <w:color w:val="000000"/>
      <w:lang w:val="ru-RU" w:eastAsia="ru-RU"/>
    </w:rPr>
  </w:style>
  <w:style w:type="paragraph" w:customStyle="1" w:styleId="continued">
    <w:name w:val="continued"/>
    <w:basedOn w:val="level21"/>
    <w:link w:val="continuedChar"/>
    <w:uiPriority w:val="99"/>
    <w:pPr>
      <w:jc w:val="both"/>
    </w:pPr>
  </w:style>
  <w:style w:type="character" w:customStyle="1" w:styleId="continuedChar">
    <w:name w:val="continued Char"/>
    <w:link w:val="continued"/>
    <w:uiPriority w:val="99"/>
    <w:locked/>
    <w:rPr>
      <w:rFonts w:ascii="Times New Roman Bold" w:hAnsi="Times New Roman Bold" w:cs="Times New Roman Bold"/>
      <w:b/>
      <w:bCs/>
      <w:caps/>
      <w:snapToGrid w:val="0"/>
      <w:color w:val="000000"/>
      <w:lang w:val="ru-RU" w:eastAsia="ru-RU"/>
    </w:rPr>
  </w:style>
  <w:style w:type="paragraph" w:styleId="TOC3">
    <w:name w:val="toc 3"/>
    <w:basedOn w:val="Normal"/>
    <w:next w:val="Normal"/>
    <w:autoRedefine/>
    <w:uiPriority w:val="39"/>
    <w:pPr>
      <w:ind w:left="400"/>
    </w:pPr>
  </w:style>
  <w:style w:type="paragraph" w:styleId="TOCHeading">
    <w:name w:val="TOC Heading"/>
    <w:basedOn w:val="Heading1"/>
    <w:next w:val="Normal"/>
    <w:uiPriority w:val="99"/>
    <w:qFormat/>
    <w:pPr>
      <w:keepLines/>
      <w:spacing w:before="480" w:after="0" w:line="276" w:lineRule="auto"/>
      <w:jc w:val="left"/>
      <w:outlineLvl w:val="9"/>
    </w:pPr>
    <w:rPr>
      <w:color w:val="365F91"/>
      <w:kern w:val="0"/>
      <w:sz w:val="28"/>
      <w:szCs w:val="28"/>
    </w:rPr>
  </w:style>
  <w:style w:type="paragraph" w:customStyle="1" w:styleId="EYFooterinfo">
    <w:name w:val="EY Footer info"/>
    <w:basedOn w:val="Normal"/>
    <w:pPr>
      <w:suppressAutoHyphens/>
      <w:jc w:val="left"/>
    </w:pPr>
    <w:rPr>
      <w:rFonts w:ascii="Arial" w:hAnsi="Arial" w:cs="Arial"/>
      <w:color w:val="666666"/>
      <w:kern w:val="12"/>
      <w:sz w:val="11"/>
      <w:szCs w:val="11"/>
    </w:rPr>
  </w:style>
  <w:style w:type="paragraph" w:customStyle="1" w:styleId="EYBusinessaddress">
    <w:name w:val="EY Business address"/>
    <w:basedOn w:val="Normal"/>
    <w:link w:val="EYBusinessaddressChar"/>
    <w:pPr>
      <w:suppressAutoHyphens/>
      <w:spacing w:line="170" w:lineRule="atLeast"/>
      <w:jc w:val="left"/>
    </w:pPr>
    <w:rPr>
      <w:rFonts w:ascii="Arial" w:hAnsi="Arial" w:cs="Arial"/>
      <w:color w:val="666666"/>
      <w:kern w:val="12"/>
      <w:sz w:val="15"/>
      <w:szCs w:val="15"/>
    </w:rPr>
  </w:style>
  <w:style w:type="paragraph" w:customStyle="1" w:styleId="NormalnTimes12AYbodytextTimes12Point10pointFlushleftGeneva1012pointFlushleftTimesFlushleftTimes10FlushleftTimes12JustifiedFlushLeftNormalproposalNormalpropPropmarginNormalmarginNorma">
    <w:name w:val="Normal.n.Times 12.AY body text.Times 12 Point.10 point.Flush left.Geneva 10.12 point.Flush left Times.Flush left Times  10.Flush left Times 12.Justified.Flush Left.Normal proposal.Normal prop.Prop margin.Normal margin.Norma"/>
    <w:uiPriority w:val="99"/>
    <w:pPr>
      <w:widowControl w:val="0"/>
      <w:tabs>
        <w:tab w:val="left" w:pos="620"/>
      </w:tabs>
      <w:overflowPunct w:val="0"/>
      <w:autoSpaceDE w:val="0"/>
      <w:autoSpaceDN w:val="0"/>
      <w:adjustRightInd w:val="0"/>
      <w:jc w:val="both"/>
      <w:textAlignment w:val="baseline"/>
    </w:pPr>
    <w:rPr>
      <w:rFonts w:ascii="Times" w:hAnsi="Times" w:cs="Times"/>
      <w:sz w:val="24"/>
      <w:szCs w:val="24"/>
      <w:lang w:val="en-US" w:eastAsia="en-US"/>
    </w:rPr>
  </w:style>
  <w:style w:type="character" w:styleId="PageNumber">
    <w:name w:val="page number"/>
    <w:uiPriority w:val="99"/>
    <w:rPr>
      <w:rFonts w:ascii="Times" w:hAnsi="Times" w:cs="Times"/>
    </w:rPr>
  </w:style>
  <w:style w:type="paragraph" w:customStyle="1" w:styleId="ReportsCover4">
    <w:name w:val="Reports Cover 4"/>
    <w:basedOn w:val="Normal"/>
    <w:uiPriority w:val="99"/>
    <w:pPr>
      <w:framePr w:wrap="auto" w:vAnchor="page" w:hAnchor="margin" w:y="2361"/>
      <w:widowControl w:val="0"/>
      <w:tabs>
        <w:tab w:val="left" w:pos="620"/>
      </w:tabs>
      <w:overflowPunct w:val="0"/>
      <w:autoSpaceDE w:val="0"/>
      <w:autoSpaceDN w:val="0"/>
      <w:adjustRightInd w:val="0"/>
      <w:spacing w:line="400" w:lineRule="exact"/>
      <w:ind w:left="79" w:right="-23"/>
      <w:textAlignment w:val="baseline"/>
    </w:pPr>
    <w:rPr>
      <w:sz w:val="36"/>
      <w:szCs w:val="36"/>
      <w:lang w:val="en-US" w:eastAsia="en-US"/>
    </w:rPr>
  </w:style>
  <w:style w:type="paragraph" w:styleId="ListParagraph">
    <w:name w:val="List Paragraph"/>
    <w:basedOn w:val="Normal"/>
    <w:uiPriority w:val="34"/>
    <w:qFormat/>
    <w:pPr>
      <w:ind w:left="720"/>
      <w:jc w:val="left"/>
    </w:pPr>
    <w:rPr>
      <w:rFonts w:ascii="EYInterstate Light" w:hAnsi="EYInterstate Light" w:cs="EYInterstate Light"/>
      <w:sz w:val="22"/>
      <w:szCs w:val="22"/>
    </w:rPr>
  </w:style>
  <w:style w:type="character" w:styleId="IntenseReference">
    <w:name w:val="Intense Reference"/>
    <w:uiPriority w:val="32"/>
    <w:qFormat/>
    <w:rPr>
      <w:b/>
      <w:bCs/>
      <w:smallCaps/>
      <w:color w:val="C0504D"/>
      <w:spacing w:val="5"/>
      <w:u w:val="single"/>
    </w:rPr>
  </w:style>
  <w:style w:type="paragraph" w:styleId="TOC4">
    <w:name w:val="toc 4"/>
    <w:basedOn w:val="Normal"/>
    <w:next w:val="Normal"/>
    <w:autoRedefine/>
    <w:uiPriority w:val="39"/>
    <w:unhideWhenUsed/>
    <w:locked/>
    <w:pPr>
      <w:spacing w:after="100" w:line="276" w:lineRule="auto"/>
      <w:ind w:left="660"/>
      <w:jc w:val="left"/>
    </w:pPr>
    <w:rPr>
      <w:rFonts w:ascii="Calibri" w:hAnsi="Calibri"/>
      <w:sz w:val="22"/>
      <w:szCs w:val="22"/>
      <w:lang w:val="en-US" w:eastAsia="en-US"/>
    </w:rPr>
  </w:style>
  <w:style w:type="paragraph" w:styleId="TOC7">
    <w:name w:val="toc 7"/>
    <w:basedOn w:val="Normal"/>
    <w:next w:val="Normal"/>
    <w:autoRedefine/>
    <w:uiPriority w:val="39"/>
    <w:unhideWhenUsed/>
    <w:locked/>
    <w:pPr>
      <w:spacing w:after="100" w:line="276" w:lineRule="auto"/>
      <w:ind w:left="1320"/>
      <w:jc w:val="left"/>
    </w:pPr>
    <w:rPr>
      <w:rFonts w:ascii="Calibri" w:hAnsi="Calibri"/>
      <w:sz w:val="22"/>
      <w:szCs w:val="22"/>
      <w:lang w:val="en-US" w:eastAsia="en-US"/>
    </w:rPr>
  </w:style>
  <w:style w:type="paragraph" w:styleId="TOC8">
    <w:name w:val="toc 8"/>
    <w:basedOn w:val="Normal"/>
    <w:next w:val="Normal"/>
    <w:autoRedefine/>
    <w:uiPriority w:val="39"/>
    <w:unhideWhenUsed/>
    <w:locked/>
    <w:pPr>
      <w:spacing w:after="100" w:line="276" w:lineRule="auto"/>
      <w:ind w:left="1540"/>
      <w:jc w:val="left"/>
    </w:pPr>
    <w:rPr>
      <w:rFonts w:ascii="Calibri" w:hAnsi="Calibri"/>
      <w:sz w:val="22"/>
      <w:szCs w:val="22"/>
      <w:lang w:val="en-US" w:eastAsia="en-US"/>
    </w:rPr>
  </w:style>
  <w:style w:type="paragraph" w:styleId="TOC9">
    <w:name w:val="toc 9"/>
    <w:basedOn w:val="Normal"/>
    <w:next w:val="Normal"/>
    <w:autoRedefine/>
    <w:uiPriority w:val="39"/>
    <w:unhideWhenUsed/>
    <w:locked/>
    <w:pPr>
      <w:spacing w:after="100" w:line="276" w:lineRule="auto"/>
      <w:ind w:left="1760"/>
      <w:jc w:val="left"/>
    </w:pPr>
    <w:rPr>
      <w:rFonts w:ascii="Calibri" w:hAnsi="Calibri"/>
      <w:sz w:val="22"/>
      <w:szCs w:val="22"/>
      <w:lang w:val="en-US" w:eastAsia="en-US"/>
    </w:rPr>
  </w:style>
  <w:style w:type="paragraph" w:customStyle="1" w:styleId="11">
    <w:name w:val="Без интервала1"/>
    <w:uiPriority w:val="1"/>
    <w:qFormat/>
    <w:rPr>
      <w:rFonts w:ascii="Calibri" w:eastAsia="Calibri" w:hAnsi="Calibri"/>
      <w:sz w:val="22"/>
      <w:szCs w:val="22"/>
      <w:lang w:eastAsia="en-US"/>
    </w:rPr>
  </w:style>
  <w:style w:type="paragraph" w:customStyle="1" w:styleId="RedOct">
    <w:name w:val="RedOct"/>
    <w:basedOn w:val="Heading3"/>
    <w:link w:val="RedOctChar"/>
    <w:qFormat/>
    <w:pPr>
      <w:outlineLvl w:val="0"/>
    </w:pPr>
  </w:style>
  <w:style w:type="paragraph" w:styleId="BodyText2">
    <w:name w:val="Body Text 2"/>
    <w:basedOn w:val="Normal"/>
    <w:link w:val="BodyText2Char"/>
    <w:uiPriority w:val="99"/>
    <w:unhideWhenUsed/>
    <w:locked/>
    <w:pPr>
      <w:spacing w:after="120" w:line="480" w:lineRule="auto"/>
      <w:jc w:val="left"/>
    </w:pPr>
    <w:rPr>
      <w:rFonts w:ascii="EYInterstate Light" w:hAnsi="EYInterstate Light"/>
      <w:sz w:val="22"/>
      <w:lang w:bidi="ru-RU"/>
    </w:rPr>
  </w:style>
  <w:style w:type="character" w:customStyle="1" w:styleId="BodyText2Char">
    <w:name w:val="Body Text 2 Char"/>
    <w:link w:val="BodyText2"/>
    <w:uiPriority w:val="99"/>
    <w:rPr>
      <w:rFonts w:ascii="EYInterstate Light" w:hAnsi="EYInterstate Light"/>
      <w:sz w:val="22"/>
      <w:lang w:bidi="ru-RU"/>
    </w:rPr>
  </w:style>
  <w:style w:type="paragraph" w:customStyle="1" w:styleId="12">
    <w:name w:val="_1"/>
    <w:basedOn w:val="RedOct"/>
    <w:link w:val="1Char"/>
    <w:qFormat/>
    <w:pPr>
      <w:widowControl w:val="0"/>
    </w:pPr>
  </w:style>
  <w:style w:type="paragraph" w:customStyle="1" w:styleId="2">
    <w:name w:val="_2"/>
    <w:basedOn w:val="level21"/>
    <w:link w:val="2Char"/>
    <w:qFormat/>
    <w:rPr>
      <w:rFonts w:ascii="Times New Roman" w:hAnsi="Times New Roman"/>
      <w:caps w:val="0"/>
      <w:color w:val="auto"/>
    </w:rPr>
  </w:style>
  <w:style w:type="character" w:customStyle="1" w:styleId="RedOctChar">
    <w:name w:val="RedOct Char"/>
    <w:basedOn w:val="Heading3Char"/>
    <w:link w:val="RedOct"/>
    <w:rPr>
      <w:b/>
      <w:bCs/>
      <w:caps/>
      <w:lang w:val="ru-RU" w:eastAsia="ru-RU"/>
    </w:rPr>
  </w:style>
  <w:style w:type="character" w:customStyle="1" w:styleId="1Char">
    <w:name w:val="_1 Char"/>
    <w:basedOn w:val="RedOctChar"/>
    <w:link w:val="12"/>
    <w:rPr>
      <w:b/>
      <w:bCs/>
      <w:caps/>
      <w:lang w:val="ru-RU" w:eastAsia="ru-RU"/>
    </w:rPr>
  </w:style>
  <w:style w:type="paragraph" w:customStyle="1" w:styleId="13">
    <w:name w:val="_1_продолжение"/>
    <w:basedOn w:val="Normal"/>
    <w:link w:val="1Char0"/>
    <w:qFormat/>
    <w:pPr>
      <w:widowControl w:val="0"/>
      <w:ind w:left="567" w:hanging="567"/>
    </w:pPr>
    <w:rPr>
      <w:b/>
      <w:caps/>
    </w:rPr>
  </w:style>
  <w:style w:type="character" w:customStyle="1" w:styleId="2Char">
    <w:name w:val="_2 Char"/>
    <w:link w:val="2"/>
    <w:rPr>
      <w:rFonts w:ascii="Times New Roman Bold" w:hAnsi="Times New Roman Bold" w:cs="Times New Roman Bold"/>
      <w:b/>
      <w:bCs/>
      <w:caps w:val="0"/>
      <w:snapToGrid w:val="0"/>
      <w:color w:val="000000"/>
      <w:lang w:val="ru-RU" w:eastAsia="ru-RU"/>
    </w:rPr>
  </w:style>
  <w:style w:type="paragraph" w:customStyle="1" w:styleId="3">
    <w:name w:val="_3"/>
    <w:basedOn w:val="Normal"/>
    <w:link w:val="3Char"/>
    <w:qFormat/>
    <w:pPr>
      <w:widowControl w:val="0"/>
    </w:pPr>
    <w:rPr>
      <w:i/>
    </w:rPr>
  </w:style>
  <w:style w:type="character" w:customStyle="1" w:styleId="1Char0">
    <w:name w:val="_1_продолжение Char"/>
    <w:link w:val="13"/>
    <w:rPr>
      <w:b/>
      <w:caps/>
    </w:rPr>
  </w:style>
  <w:style w:type="paragraph" w:customStyle="1" w:styleId="a">
    <w:name w:val="_список"/>
    <w:basedOn w:val="Normal"/>
    <w:link w:val="Char"/>
    <w:qFormat/>
    <w:pPr>
      <w:widowControl w:val="0"/>
      <w:numPr>
        <w:numId w:val="34"/>
      </w:numPr>
      <w:spacing w:before="120"/>
      <w:ind w:left="567" w:hanging="567"/>
    </w:pPr>
  </w:style>
  <w:style w:type="character" w:customStyle="1" w:styleId="3Char">
    <w:name w:val="_3 Char"/>
    <w:link w:val="3"/>
    <w:rPr>
      <w:i/>
    </w:rPr>
  </w:style>
  <w:style w:type="character" w:customStyle="1" w:styleId="Char">
    <w:name w:val="_список Char"/>
    <w:basedOn w:val="DefaultParagraphFont"/>
    <w:link w:val="a"/>
  </w:style>
  <w:style w:type="paragraph" w:customStyle="1" w:styleId="Legalentityname">
    <w:name w:val="Legal entity name"/>
    <w:basedOn w:val="EYBusinessaddress"/>
    <w:link w:val="LegalentitynameChar"/>
    <w:qFormat/>
    <w:rPr>
      <w:b/>
      <w:lang w:val="en-US" w:eastAsia="en-US"/>
    </w:rPr>
  </w:style>
  <w:style w:type="character" w:customStyle="1" w:styleId="EYBusinessaddressChar">
    <w:name w:val="EY Business address Char"/>
    <w:basedOn w:val="DefaultParagraphFont"/>
    <w:link w:val="EYBusinessaddress"/>
    <w:rPr>
      <w:rFonts w:ascii="Arial" w:hAnsi="Arial" w:cs="Arial"/>
      <w:color w:val="666666"/>
      <w:kern w:val="12"/>
      <w:sz w:val="15"/>
      <w:szCs w:val="15"/>
    </w:rPr>
  </w:style>
  <w:style w:type="character" w:customStyle="1" w:styleId="LegalentitynameChar">
    <w:name w:val="Legal entity name Char"/>
    <w:basedOn w:val="EYBusinessaddressChar"/>
    <w:link w:val="Legalentityname"/>
    <w:rPr>
      <w:rFonts w:ascii="Arial" w:hAnsi="Arial" w:cs="Arial"/>
      <w:b/>
      <w:color w:val="666666"/>
      <w:kern w:val="12"/>
      <w:sz w:val="15"/>
      <w:szCs w:val="15"/>
      <w:lang w:val="en-US" w:eastAsia="en-US"/>
    </w:rPr>
  </w:style>
  <w:style w:type="paragraph" w:customStyle="1" w:styleId="address">
    <w:name w:val="address"/>
    <w:basedOn w:val="EYBusinessaddress"/>
    <w:link w:val="addressChar"/>
    <w:qFormat/>
    <w:pPr>
      <w:spacing w:line="170" w:lineRule="exact"/>
    </w:pPr>
    <w:rPr>
      <w:color w:val="808080"/>
      <w:szCs w:val="24"/>
      <w:lang w:eastAsia="en-US"/>
    </w:rPr>
  </w:style>
  <w:style w:type="character" w:customStyle="1" w:styleId="addressChar">
    <w:name w:val="address Char"/>
    <w:basedOn w:val="EYBusinessaddressChar"/>
    <w:link w:val="address"/>
    <w:rPr>
      <w:rFonts w:ascii="Arial" w:hAnsi="Arial" w:cs="Arial"/>
      <w:color w:val="808080"/>
      <w:kern w:val="12"/>
      <w:sz w:val="15"/>
      <w:szCs w:val="24"/>
      <w:lang w:eastAsia="en-US"/>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E74B5" w:themeColor="accent1" w:themeShade="BF"/>
    </w:rPr>
  </w:style>
  <w:style w:type="table" w:customStyle="1" w:styleId="ListTable41">
    <w:name w:val="List Table 41"/>
    <w:basedOn w:val="TableNormal"/>
    <w:next w:val="ListTable4"/>
    <w:uiPriority w:val="49"/>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ListTable4">
    <w:name w:val="List Table 4"/>
    <w:basedOn w:val="TableNormal"/>
    <w:uiPriority w:val="4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abletext1">
    <w:name w:val="Table text"/>
    <w:basedOn w:val="Normal"/>
    <w:pPr>
      <w:ind w:left="85" w:hanging="85"/>
      <w:jc w:val="left"/>
    </w:pPr>
    <w:rPr>
      <w:rFonts w:ascii="EYInterstate Light" w:hAnsi="EYInterstate Light"/>
      <w:sz w:val="22"/>
      <w:lang w:eastAsia="en-US"/>
    </w:rPr>
  </w:style>
  <w:style w:type="paragraph" w:customStyle="1" w:styleId="Rowheader">
    <w:name w:val="Row header"/>
    <w:basedOn w:val="Normal"/>
    <w:pPr>
      <w:ind w:left="85" w:hanging="85"/>
      <w:jc w:val="left"/>
    </w:pPr>
    <w:rPr>
      <w:rFonts w:ascii="EYInterstate Light" w:hAnsi="EYInterstate Light"/>
      <w:b/>
      <w:sz w:val="22"/>
      <w:lang w:eastAsia="en-US"/>
    </w:rPr>
  </w:style>
  <w:style w:type="paragraph" w:customStyle="1" w:styleId="Tablenumbers1">
    <w:name w:val="Table numbers1"/>
    <w:pPr>
      <w:tabs>
        <w:tab w:val="decimal" w:pos="1503"/>
      </w:tabs>
      <w:ind w:right="-56"/>
    </w:pPr>
    <w:rPr>
      <w:rFonts w:ascii="Arial" w:hAnsi="Arial"/>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07811">
      <w:marLeft w:val="0"/>
      <w:marRight w:val="0"/>
      <w:marTop w:val="0"/>
      <w:marBottom w:val="0"/>
      <w:divBdr>
        <w:top w:val="none" w:sz="0" w:space="0" w:color="auto"/>
        <w:left w:val="none" w:sz="0" w:space="0" w:color="auto"/>
        <w:bottom w:val="none" w:sz="0" w:space="0" w:color="auto"/>
        <w:right w:val="none" w:sz="0" w:space="0" w:color="auto"/>
      </w:divBdr>
    </w:div>
    <w:div w:id="39207812">
      <w:marLeft w:val="0"/>
      <w:marRight w:val="0"/>
      <w:marTop w:val="0"/>
      <w:marBottom w:val="0"/>
      <w:divBdr>
        <w:top w:val="none" w:sz="0" w:space="0" w:color="auto"/>
        <w:left w:val="none" w:sz="0" w:space="0" w:color="auto"/>
        <w:bottom w:val="none" w:sz="0" w:space="0" w:color="auto"/>
        <w:right w:val="none" w:sz="0" w:space="0" w:color="auto"/>
      </w:divBdr>
    </w:div>
    <w:div w:id="39207813">
      <w:marLeft w:val="0"/>
      <w:marRight w:val="0"/>
      <w:marTop w:val="0"/>
      <w:marBottom w:val="0"/>
      <w:divBdr>
        <w:top w:val="none" w:sz="0" w:space="0" w:color="auto"/>
        <w:left w:val="none" w:sz="0" w:space="0" w:color="auto"/>
        <w:bottom w:val="none" w:sz="0" w:space="0" w:color="auto"/>
        <w:right w:val="none" w:sz="0" w:space="0" w:color="auto"/>
      </w:divBdr>
    </w:div>
    <w:div w:id="39207814">
      <w:marLeft w:val="0"/>
      <w:marRight w:val="0"/>
      <w:marTop w:val="0"/>
      <w:marBottom w:val="0"/>
      <w:divBdr>
        <w:top w:val="none" w:sz="0" w:space="0" w:color="auto"/>
        <w:left w:val="none" w:sz="0" w:space="0" w:color="auto"/>
        <w:bottom w:val="none" w:sz="0" w:space="0" w:color="auto"/>
        <w:right w:val="none" w:sz="0" w:space="0" w:color="auto"/>
      </w:divBdr>
    </w:div>
    <w:div w:id="39207815">
      <w:marLeft w:val="0"/>
      <w:marRight w:val="0"/>
      <w:marTop w:val="0"/>
      <w:marBottom w:val="0"/>
      <w:divBdr>
        <w:top w:val="none" w:sz="0" w:space="0" w:color="auto"/>
        <w:left w:val="none" w:sz="0" w:space="0" w:color="auto"/>
        <w:bottom w:val="none" w:sz="0" w:space="0" w:color="auto"/>
        <w:right w:val="none" w:sz="0" w:space="0" w:color="auto"/>
      </w:divBdr>
    </w:div>
    <w:div w:id="39207816">
      <w:marLeft w:val="0"/>
      <w:marRight w:val="0"/>
      <w:marTop w:val="0"/>
      <w:marBottom w:val="0"/>
      <w:divBdr>
        <w:top w:val="none" w:sz="0" w:space="0" w:color="auto"/>
        <w:left w:val="none" w:sz="0" w:space="0" w:color="auto"/>
        <w:bottom w:val="none" w:sz="0" w:space="0" w:color="auto"/>
        <w:right w:val="none" w:sz="0" w:space="0" w:color="auto"/>
      </w:divBdr>
    </w:div>
    <w:div w:id="39207817">
      <w:marLeft w:val="0"/>
      <w:marRight w:val="0"/>
      <w:marTop w:val="0"/>
      <w:marBottom w:val="0"/>
      <w:divBdr>
        <w:top w:val="none" w:sz="0" w:space="0" w:color="auto"/>
        <w:left w:val="none" w:sz="0" w:space="0" w:color="auto"/>
        <w:bottom w:val="none" w:sz="0" w:space="0" w:color="auto"/>
        <w:right w:val="none" w:sz="0" w:space="0" w:color="auto"/>
      </w:divBdr>
    </w:div>
    <w:div w:id="39207818">
      <w:marLeft w:val="0"/>
      <w:marRight w:val="0"/>
      <w:marTop w:val="0"/>
      <w:marBottom w:val="0"/>
      <w:divBdr>
        <w:top w:val="none" w:sz="0" w:space="0" w:color="auto"/>
        <w:left w:val="none" w:sz="0" w:space="0" w:color="auto"/>
        <w:bottom w:val="none" w:sz="0" w:space="0" w:color="auto"/>
        <w:right w:val="none" w:sz="0" w:space="0" w:color="auto"/>
      </w:divBdr>
    </w:div>
    <w:div w:id="39207819">
      <w:marLeft w:val="0"/>
      <w:marRight w:val="0"/>
      <w:marTop w:val="0"/>
      <w:marBottom w:val="0"/>
      <w:divBdr>
        <w:top w:val="none" w:sz="0" w:space="0" w:color="auto"/>
        <w:left w:val="none" w:sz="0" w:space="0" w:color="auto"/>
        <w:bottom w:val="none" w:sz="0" w:space="0" w:color="auto"/>
        <w:right w:val="none" w:sz="0" w:space="0" w:color="auto"/>
      </w:divBdr>
    </w:div>
    <w:div w:id="39207820">
      <w:marLeft w:val="0"/>
      <w:marRight w:val="0"/>
      <w:marTop w:val="0"/>
      <w:marBottom w:val="0"/>
      <w:divBdr>
        <w:top w:val="none" w:sz="0" w:space="0" w:color="auto"/>
        <w:left w:val="none" w:sz="0" w:space="0" w:color="auto"/>
        <w:bottom w:val="none" w:sz="0" w:space="0" w:color="auto"/>
        <w:right w:val="none" w:sz="0" w:space="0" w:color="auto"/>
      </w:divBdr>
    </w:div>
    <w:div w:id="39207821">
      <w:marLeft w:val="0"/>
      <w:marRight w:val="0"/>
      <w:marTop w:val="0"/>
      <w:marBottom w:val="0"/>
      <w:divBdr>
        <w:top w:val="none" w:sz="0" w:space="0" w:color="auto"/>
        <w:left w:val="none" w:sz="0" w:space="0" w:color="auto"/>
        <w:bottom w:val="none" w:sz="0" w:space="0" w:color="auto"/>
        <w:right w:val="none" w:sz="0" w:space="0" w:color="auto"/>
      </w:divBdr>
    </w:div>
    <w:div w:id="39207822">
      <w:marLeft w:val="0"/>
      <w:marRight w:val="0"/>
      <w:marTop w:val="0"/>
      <w:marBottom w:val="0"/>
      <w:divBdr>
        <w:top w:val="none" w:sz="0" w:space="0" w:color="auto"/>
        <w:left w:val="none" w:sz="0" w:space="0" w:color="auto"/>
        <w:bottom w:val="none" w:sz="0" w:space="0" w:color="auto"/>
        <w:right w:val="none" w:sz="0" w:space="0" w:color="auto"/>
      </w:divBdr>
    </w:div>
    <w:div w:id="39207823">
      <w:marLeft w:val="0"/>
      <w:marRight w:val="0"/>
      <w:marTop w:val="0"/>
      <w:marBottom w:val="0"/>
      <w:divBdr>
        <w:top w:val="none" w:sz="0" w:space="0" w:color="auto"/>
        <w:left w:val="none" w:sz="0" w:space="0" w:color="auto"/>
        <w:bottom w:val="none" w:sz="0" w:space="0" w:color="auto"/>
        <w:right w:val="none" w:sz="0" w:space="0" w:color="auto"/>
      </w:divBdr>
    </w:div>
    <w:div w:id="39207824">
      <w:marLeft w:val="0"/>
      <w:marRight w:val="0"/>
      <w:marTop w:val="0"/>
      <w:marBottom w:val="0"/>
      <w:divBdr>
        <w:top w:val="none" w:sz="0" w:space="0" w:color="auto"/>
        <w:left w:val="none" w:sz="0" w:space="0" w:color="auto"/>
        <w:bottom w:val="none" w:sz="0" w:space="0" w:color="auto"/>
        <w:right w:val="none" w:sz="0" w:space="0" w:color="auto"/>
      </w:divBdr>
    </w:div>
    <w:div w:id="39207825">
      <w:marLeft w:val="0"/>
      <w:marRight w:val="0"/>
      <w:marTop w:val="0"/>
      <w:marBottom w:val="0"/>
      <w:divBdr>
        <w:top w:val="none" w:sz="0" w:space="0" w:color="auto"/>
        <w:left w:val="none" w:sz="0" w:space="0" w:color="auto"/>
        <w:bottom w:val="none" w:sz="0" w:space="0" w:color="auto"/>
        <w:right w:val="none" w:sz="0" w:space="0" w:color="auto"/>
      </w:divBdr>
    </w:div>
    <w:div w:id="39207826">
      <w:marLeft w:val="0"/>
      <w:marRight w:val="0"/>
      <w:marTop w:val="0"/>
      <w:marBottom w:val="0"/>
      <w:divBdr>
        <w:top w:val="none" w:sz="0" w:space="0" w:color="auto"/>
        <w:left w:val="none" w:sz="0" w:space="0" w:color="auto"/>
        <w:bottom w:val="none" w:sz="0" w:space="0" w:color="auto"/>
        <w:right w:val="none" w:sz="0" w:space="0" w:color="auto"/>
      </w:divBdr>
    </w:div>
    <w:div w:id="39207827">
      <w:marLeft w:val="0"/>
      <w:marRight w:val="0"/>
      <w:marTop w:val="0"/>
      <w:marBottom w:val="0"/>
      <w:divBdr>
        <w:top w:val="none" w:sz="0" w:space="0" w:color="auto"/>
        <w:left w:val="none" w:sz="0" w:space="0" w:color="auto"/>
        <w:bottom w:val="none" w:sz="0" w:space="0" w:color="auto"/>
        <w:right w:val="none" w:sz="0" w:space="0" w:color="auto"/>
      </w:divBdr>
    </w:div>
    <w:div w:id="39207828">
      <w:marLeft w:val="0"/>
      <w:marRight w:val="0"/>
      <w:marTop w:val="0"/>
      <w:marBottom w:val="0"/>
      <w:divBdr>
        <w:top w:val="none" w:sz="0" w:space="0" w:color="auto"/>
        <w:left w:val="none" w:sz="0" w:space="0" w:color="auto"/>
        <w:bottom w:val="none" w:sz="0" w:space="0" w:color="auto"/>
        <w:right w:val="none" w:sz="0" w:space="0" w:color="auto"/>
      </w:divBdr>
    </w:div>
    <w:div w:id="39207829">
      <w:marLeft w:val="0"/>
      <w:marRight w:val="0"/>
      <w:marTop w:val="0"/>
      <w:marBottom w:val="0"/>
      <w:divBdr>
        <w:top w:val="none" w:sz="0" w:space="0" w:color="auto"/>
        <w:left w:val="none" w:sz="0" w:space="0" w:color="auto"/>
        <w:bottom w:val="none" w:sz="0" w:space="0" w:color="auto"/>
        <w:right w:val="none" w:sz="0" w:space="0" w:color="auto"/>
      </w:divBdr>
    </w:div>
    <w:div w:id="39207830">
      <w:marLeft w:val="0"/>
      <w:marRight w:val="0"/>
      <w:marTop w:val="0"/>
      <w:marBottom w:val="0"/>
      <w:divBdr>
        <w:top w:val="none" w:sz="0" w:space="0" w:color="auto"/>
        <w:left w:val="none" w:sz="0" w:space="0" w:color="auto"/>
        <w:bottom w:val="none" w:sz="0" w:space="0" w:color="auto"/>
        <w:right w:val="none" w:sz="0" w:space="0" w:color="auto"/>
      </w:divBdr>
    </w:div>
    <w:div w:id="39207831">
      <w:marLeft w:val="0"/>
      <w:marRight w:val="0"/>
      <w:marTop w:val="0"/>
      <w:marBottom w:val="0"/>
      <w:divBdr>
        <w:top w:val="none" w:sz="0" w:space="0" w:color="auto"/>
        <w:left w:val="none" w:sz="0" w:space="0" w:color="auto"/>
        <w:bottom w:val="none" w:sz="0" w:space="0" w:color="auto"/>
        <w:right w:val="none" w:sz="0" w:space="0" w:color="auto"/>
      </w:divBdr>
    </w:div>
    <w:div w:id="39207832">
      <w:marLeft w:val="0"/>
      <w:marRight w:val="0"/>
      <w:marTop w:val="0"/>
      <w:marBottom w:val="0"/>
      <w:divBdr>
        <w:top w:val="none" w:sz="0" w:space="0" w:color="auto"/>
        <w:left w:val="none" w:sz="0" w:space="0" w:color="auto"/>
        <w:bottom w:val="none" w:sz="0" w:space="0" w:color="auto"/>
        <w:right w:val="none" w:sz="0" w:space="0" w:color="auto"/>
      </w:divBdr>
    </w:div>
    <w:div w:id="39207833">
      <w:marLeft w:val="0"/>
      <w:marRight w:val="0"/>
      <w:marTop w:val="0"/>
      <w:marBottom w:val="0"/>
      <w:divBdr>
        <w:top w:val="none" w:sz="0" w:space="0" w:color="auto"/>
        <w:left w:val="none" w:sz="0" w:space="0" w:color="auto"/>
        <w:bottom w:val="none" w:sz="0" w:space="0" w:color="auto"/>
        <w:right w:val="none" w:sz="0" w:space="0" w:color="auto"/>
      </w:divBdr>
    </w:div>
    <w:div w:id="39207834">
      <w:marLeft w:val="0"/>
      <w:marRight w:val="0"/>
      <w:marTop w:val="0"/>
      <w:marBottom w:val="0"/>
      <w:divBdr>
        <w:top w:val="none" w:sz="0" w:space="0" w:color="auto"/>
        <w:left w:val="none" w:sz="0" w:space="0" w:color="auto"/>
        <w:bottom w:val="none" w:sz="0" w:space="0" w:color="auto"/>
        <w:right w:val="none" w:sz="0" w:space="0" w:color="auto"/>
      </w:divBdr>
    </w:div>
    <w:div w:id="39207835">
      <w:marLeft w:val="0"/>
      <w:marRight w:val="0"/>
      <w:marTop w:val="0"/>
      <w:marBottom w:val="0"/>
      <w:divBdr>
        <w:top w:val="none" w:sz="0" w:space="0" w:color="auto"/>
        <w:left w:val="none" w:sz="0" w:space="0" w:color="auto"/>
        <w:bottom w:val="none" w:sz="0" w:space="0" w:color="auto"/>
        <w:right w:val="none" w:sz="0" w:space="0" w:color="auto"/>
      </w:divBdr>
    </w:div>
    <w:div w:id="39207836">
      <w:marLeft w:val="0"/>
      <w:marRight w:val="0"/>
      <w:marTop w:val="0"/>
      <w:marBottom w:val="0"/>
      <w:divBdr>
        <w:top w:val="none" w:sz="0" w:space="0" w:color="auto"/>
        <w:left w:val="none" w:sz="0" w:space="0" w:color="auto"/>
        <w:bottom w:val="none" w:sz="0" w:space="0" w:color="auto"/>
        <w:right w:val="none" w:sz="0" w:space="0" w:color="auto"/>
      </w:divBdr>
    </w:div>
    <w:div w:id="39207837">
      <w:marLeft w:val="0"/>
      <w:marRight w:val="0"/>
      <w:marTop w:val="0"/>
      <w:marBottom w:val="0"/>
      <w:divBdr>
        <w:top w:val="none" w:sz="0" w:space="0" w:color="auto"/>
        <w:left w:val="none" w:sz="0" w:space="0" w:color="auto"/>
        <w:bottom w:val="none" w:sz="0" w:space="0" w:color="auto"/>
        <w:right w:val="none" w:sz="0" w:space="0" w:color="auto"/>
      </w:divBdr>
    </w:div>
    <w:div w:id="39207838">
      <w:marLeft w:val="0"/>
      <w:marRight w:val="0"/>
      <w:marTop w:val="0"/>
      <w:marBottom w:val="0"/>
      <w:divBdr>
        <w:top w:val="none" w:sz="0" w:space="0" w:color="auto"/>
        <w:left w:val="none" w:sz="0" w:space="0" w:color="auto"/>
        <w:bottom w:val="none" w:sz="0" w:space="0" w:color="auto"/>
        <w:right w:val="none" w:sz="0" w:space="0" w:color="auto"/>
      </w:divBdr>
    </w:div>
    <w:div w:id="39207839">
      <w:marLeft w:val="0"/>
      <w:marRight w:val="0"/>
      <w:marTop w:val="0"/>
      <w:marBottom w:val="0"/>
      <w:divBdr>
        <w:top w:val="none" w:sz="0" w:space="0" w:color="auto"/>
        <w:left w:val="none" w:sz="0" w:space="0" w:color="auto"/>
        <w:bottom w:val="none" w:sz="0" w:space="0" w:color="auto"/>
        <w:right w:val="none" w:sz="0" w:space="0" w:color="auto"/>
      </w:divBdr>
    </w:div>
    <w:div w:id="39207840">
      <w:marLeft w:val="0"/>
      <w:marRight w:val="0"/>
      <w:marTop w:val="0"/>
      <w:marBottom w:val="0"/>
      <w:divBdr>
        <w:top w:val="none" w:sz="0" w:space="0" w:color="auto"/>
        <w:left w:val="none" w:sz="0" w:space="0" w:color="auto"/>
        <w:bottom w:val="none" w:sz="0" w:space="0" w:color="auto"/>
        <w:right w:val="none" w:sz="0" w:space="0" w:color="auto"/>
      </w:divBdr>
    </w:div>
    <w:div w:id="39207841">
      <w:marLeft w:val="0"/>
      <w:marRight w:val="0"/>
      <w:marTop w:val="0"/>
      <w:marBottom w:val="0"/>
      <w:divBdr>
        <w:top w:val="none" w:sz="0" w:space="0" w:color="auto"/>
        <w:left w:val="none" w:sz="0" w:space="0" w:color="auto"/>
        <w:bottom w:val="none" w:sz="0" w:space="0" w:color="auto"/>
        <w:right w:val="none" w:sz="0" w:space="0" w:color="auto"/>
      </w:divBdr>
    </w:div>
    <w:div w:id="39207842">
      <w:marLeft w:val="0"/>
      <w:marRight w:val="0"/>
      <w:marTop w:val="0"/>
      <w:marBottom w:val="0"/>
      <w:divBdr>
        <w:top w:val="none" w:sz="0" w:space="0" w:color="auto"/>
        <w:left w:val="none" w:sz="0" w:space="0" w:color="auto"/>
        <w:bottom w:val="none" w:sz="0" w:space="0" w:color="auto"/>
        <w:right w:val="none" w:sz="0" w:space="0" w:color="auto"/>
      </w:divBdr>
    </w:div>
    <w:div w:id="39207843">
      <w:marLeft w:val="0"/>
      <w:marRight w:val="0"/>
      <w:marTop w:val="0"/>
      <w:marBottom w:val="0"/>
      <w:divBdr>
        <w:top w:val="none" w:sz="0" w:space="0" w:color="auto"/>
        <w:left w:val="none" w:sz="0" w:space="0" w:color="auto"/>
        <w:bottom w:val="none" w:sz="0" w:space="0" w:color="auto"/>
        <w:right w:val="none" w:sz="0" w:space="0" w:color="auto"/>
      </w:divBdr>
    </w:div>
    <w:div w:id="39207844">
      <w:marLeft w:val="0"/>
      <w:marRight w:val="0"/>
      <w:marTop w:val="0"/>
      <w:marBottom w:val="0"/>
      <w:divBdr>
        <w:top w:val="none" w:sz="0" w:space="0" w:color="auto"/>
        <w:left w:val="none" w:sz="0" w:space="0" w:color="auto"/>
        <w:bottom w:val="none" w:sz="0" w:space="0" w:color="auto"/>
        <w:right w:val="none" w:sz="0" w:space="0" w:color="auto"/>
      </w:divBdr>
    </w:div>
    <w:div w:id="39207845">
      <w:marLeft w:val="0"/>
      <w:marRight w:val="0"/>
      <w:marTop w:val="0"/>
      <w:marBottom w:val="0"/>
      <w:divBdr>
        <w:top w:val="none" w:sz="0" w:space="0" w:color="auto"/>
        <w:left w:val="none" w:sz="0" w:space="0" w:color="auto"/>
        <w:bottom w:val="none" w:sz="0" w:space="0" w:color="auto"/>
        <w:right w:val="none" w:sz="0" w:space="0" w:color="auto"/>
      </w:divBdr>
    </w:div>
    <w:div w:id="39207846">
      <w:marLeft w:val="0"/>
      <w:marRight w:val="0"/>
      <w:marTop w:val="0"/>
      <w:marBottom w:val="0"/>
      <w:divBdr>
        <w:top w:val="none" w:sz="0" w:space="0" w:color="auto"/>
        <w:left w:val="none" w:sz="0" w:space="0" w:color="auto"/>
        <w:bottom w:val="none" w:sz="0" w:space="0" w:color="auto"/>
        <w:right w:val="none" w:sz="0" w:space="0" w:color="auto"/>
      </w:divBdr>
    </w:div>
    <w:div w:id="39207847">
      <w:marLeft w:val="0"/>
      <w:marRight w:val="0"/>
      <w:marTop w:val="0"/>
      <w:marBottom w:val="0"/>
      <w:divBdr>
        <w:top w:val="none" w:sz="0" w:space="0" w:color="auto"/>
        <w:left w:val="none" w:sz="0" w:space="0" w:color="auto"/>
        <w:bottom w:val="none" w:sz="0" w:space="0" w:color="auto"/>
        <w:right w:val="none" w:sz="0" w:space="0" w:color="auto"/>
      </w:divBdr>
    </w:div>
    <w:div w:id="39207848">
      <w:marLeft w:val="0"/>
      <w:marRight w:val="0"/>
      <w:marTop w:val="0"/>
      <w:marBottom w:val="0"/>
      <w:divBdr>
        <w:top w:val="none" w:sz="0" w:space="0" w:color="auto"/>
        <w:left w:val="none" w:sz="0" w:space="0" w:color="auto"/>
        <w:bottom w:val="none" w:sz="0" w:space="0" w:color="auto"/>
        <w:right w:val="none" w:sz="0" w:space="0" w:color="auto"/>
      </w:divBdr>
    </w:div>
    <w:div w:id="39207849">
      <w:marLeft w:val="0"/>
      <w:marRight w:val="0"/>
      <w:marTop w:val="0"/>
      <w:marBottom w:val="0"/>
      <w:divBdr>
        <w:top w:val="none" w:sz="0" w:space="0" w:color="auto"/>
        <w:left w:val="none" w:sz="0" w:space="0" w:color="auto"/>
        <w:bottom w:val="none" w:sz="0" w:space="0" w:color="auto"/>
        <w:right w:val="none" w:sz="0" w:space="0" w:color="auto"/>
      </w:divBdr>
    </w:div>
    <w:div w:id="39207850">
      <w:marLeft w:val="0"/>
      <w:marRight w:val="0"/>
      <w:marTop w:val="0"/>
      <w:marBottom w:val="0"/>
      <w:divBdr>
        <w:top w:val="none" w:sz="0" w:space="0" w:color="auto"/>
        <w:left w:val="none" w:sz="0" w:space="0" w:color="auto"/>
        <w:bottom w:val="none" w:sz="0" w:space="0" w:color="auto"/>
        <w:right w:val="none" w:sz="0" w:space="0" w:color="auto"/>
      </w:divBdr>
    </w:div>
    <w:div w:id="39207851">
      <w:marLeft w:val="0"/>
      <w:marRight w:val="0"/>
      <w:marTop w:val="0"/>
      <w:marBottom w:val="0"/>
      <w:divBdr>
        <w:top w:val="none" w:sz="0" w:space="0" w:color="auto"/>
        <w:left w:val="none" w:sz="0" w:space="0" w:color="auto"/>
        <w:bottom w:val="none" w:sz="0" w:space="0" w:color="auto"/>
        <w:right w:val="none" w:sz="0" w:space="0" w:color="auto"/>
      </w:divBdr>
    </w:div>
    <w:div w:id="39207852">
      <w:marLeft w:val="0"/>
      <w:marRight w:val="0"/>
      <w:marTop w:val="0"/>
      <w:marBottom w:val="0"/>
      <w:divBdr>
        <w:top w:val="none" w:sz="0" w:space="0" w:color="auto"/>
        <w:left w:val="none" w:sz="0" w:space="0" w:color="auto"/>
        <w:bottom w:val="none" w:sz="0" w:space="0" w:color="auto"/>
        <w:right w:val="none" w:sz="0" w:space="0" w:color="auto"/>
      </w:divBdr>
    </w:div>
    <w:div w:id="39207853">
      <w:marLeft w:val="0"/>
      <w:marRight w:val="0"/>
      <w:marTop w:val="0"/>
      <w:marBottom w:val="0"/>
      <w:divBdr>
        <w:top w:val="none" w:sz="0" w:space="0" w:color="auto"/>
        <w:left w:val="none" w:sz="0" w:space="0" w:color="auto"/>
        <w:bottom w:val="none" w:sz="0" w:space="0" w:color="auto"/>
        <w:right w:val="none" w:sz="0" w:space="0" w:color="auto"/>
      </w:divBdr>
    </w:div>
    <w:div w:id="39207854">
      <w:marLeft w:val="0"/>
      <w:marRight w:val="0"/>
      <w:marTop w:val="0"/>
      <w:marBottom w:val="0"/>
      <w:divBdr>
        <w:top w:val="none" w:sz="0" w:space="0" w:color="auto"/>
        <w:left w:val="none" w:sz="0" w:space="0" w:color="auto"/>
        <w:bottom w:val="none" w:sz="0" w:space="0" w:color="auto"/>
        <w:right w:val="none" w:sz="0" w:space="0" w:color="auto"/>
      </w:divBdr>
    </w:div>
    <w:div w:id="39207855">
      <w:marLeft w:val="0"/>
      <w:marRight w:val="0"/>
      <w:marTop w:val="0"/>
      <w:marBottom w:val="0"/>
      <w:divBdr>
        <w:top w:val="none" w:sz="0" w:space="0" w:color="auto"/>
        <w:left w:val="none" w:sz="0" w:space="0" w:color="auto"/>
        <w:bottom w:val="none" w:sz="0" w:space="0" w:color="auto"/>
        <w:right w:val="none" w:sz="0" w:space="0" w:color="auto"/>
      </w:divBdr>
    </w:div>
    <w:div w:id="39207856">
      <w:marLeft w:val="0"/>
      <w:marRight w:val="0"/>
      <w:marTop w:val="0"/>
      <w:marBottom w:val="0"/>
      <w:divBdr>
        <w:top w:val="none" w:sz="0" w:space="0" w:color="auto"/>
        <w:left w:val="none" w:sz="0" w:space="0" w:color="auto"/>
        <w:bottom w:val="none" w:sz="0" w:space="0" w:color="auto"/>
        <w:right w:val="none" w:sz="0" w:space="0" w:color="auto"/>
      </w:divBdr>
    </w:div>
    <w:div w:id="39207857">
      <w:marLeft w:val="0"/>
      <w:marRight w:val="0"/>
      <w:marTop w:val="0"/>
      <w:marBottom w:val="0"/>
      <w:divBdr>
        <w:top w:val="none" w:sz="0" w:space="0" w:color="auto"/>
        <w:left w:val="none" w:sz="0" w:space="0" w:color="auto"/>
        <w:bottom w:val="none" w:sz="0" w:space="0" w:color="auto"/>
        <w:right w:val="none" w:sz="0" w:space="0" w:color="auto"/>
      </w:divBdr>
    </w:div>
    <w:div w:id="39207858">
      <w:marLeft w:val="0"/>
      <w:marRight w:val="0"/>
      <w:marTop w:val="0"/>
      <w:marBottom w:val="0"/>
      <w:divBdr>
        <w:top w:val="none" w:sz="0" w:space="0" w:color="auto"/>
        <w:left w:val="none" w:sz="0" w:space="0" w:color="auto"/>
        <w:bottom w:val="none" w:sz="0" w:space="0" w:color="auto"/>
        <w:right w:val="none" w:sz="0" w:space="0" w:color="auto"/>
      </w:divBdr>
    </w:div>
    <w:div w:id="39207859">
      <w:marLeft w:val="0"/>
      <w:marRight w:val="0"/>
      <w:marTop w:val="0"/>
      <w:marBottom w:val="0"/>
      <w:divBdr>
        <w:top w:val="none" w:sz="0" w:space="0" w:color="auto"/>
        <w:left w:val="none" w:sz="0" w:space="0" w:color="auto"/>
        <w:bottom w:val="none" w:sz="0" w:space="0" w:color="auto"/>
        <w:right w:val="none" w:sz="0" w:space="0" w:color="auto"/>
      </w:divBdr>
    </w:div>
    <w:div w:id="39207860">
      <w:marLeft w:val="0"/>
      <w:marRight w:val="0"/>
      <w:marTop w:val="0"/>
      <w:marBottom w:val="0"/>
      <w:divBdr>
        <w:top w:val="none" w:sz="0" w:space="0" w:color="auto"/>
        <w:left w:val="none" w:sz="0" w:space="0" w:color="auto"/>
        <w:bottom w:val="none" w:sz="0" w:space="0" w:color="auto"/>
        <w:right w:val="none" w:sz="0" w:space="0" w:color="auto"/>
      </w:divBdr>
    </w:div>
    <w:div w:id="39207861">
      <w:marLeft w:val="0"/>
      <w:marRight w:val="0"/>
      <w:marTop w:val="0"/>
      <w:marBottom w:val="0"/>
      <w:divBdr>
        <w:top w:val="none" w:sz="0" w:space="0" w:color="auto"/>
        <w:left w:val="none" w:sz="0" w:space="0" w:color="auto"/>
        <w:bottom w:val="none" w:sz="0" w:space="0" w:color="auto"/>
        <w:right w:val="none" w:sz="0" w:space="0" w:color="auto"/>
      </w:divBdr>
    </w:div>
    <w:div w:id="39207862">
      <w:marLeft w:val="0"/>
      <w:marRight w:val="0"/>
      <w:marTop w:val="0"/>
      <w:marBottom w:val="0"/>
      <w:divBdr>
        <w:top w:val="none" w:sz="0" w:space="0" w:color="auto"/>
        <w:left w:val="none" w:sz="0" w:space="0" w:color="auto"/>
        <w:bottom w:val="none" w:sz="0" w:space="0" w:color="auto"/>
        <w:right w:val="none" w:sz="0" w:space="0" w:color="auto"/>
      </w:divBdr>
    </w:div>
    <w:div w:id="39207863">
      <w:marLeft w:val="0"/>
      <w:marRight w:val="0"/>
      <w:marTop w:val="0"/>
      <w:marBottom w:val="0"/>
      <w:divBdr>
        <w:top w:val="none" w:sz="0" w:space="0" w:color="auto"/>
        <w:left w:val="none" w:sz="0" w:space="0" w:color="auto"/>
        <w:bottom w:val="none" w:sz="0" w:space="0" w:color="auto"/>
        <w:right w:val="none" w:sz="0" w:space="0" w:color="auto"/>
      </w:divBdr>
    </w:div>
    <w:div w:id="39207864">
      <w:marLeft w:val="0"/>
      <w:marRight w:val="0"/>
      <w:marTop w:val="0"/>
      <w:marBottom w:val="0"/>
      <w:divBdr>
        <w:top w:val="none" w:sz="0" w:space="0" w:color="auto"/>
        <w:left w:val="none" w:sz="0" w:space="0" w:color="auto"/>
        <w:bottom w:val="none" w:sz="0" w:space="0" w:color="auto"/>
        <w:right w:val="none" w:sz="0" w:space="0" w:color="auto"/>
      </w:divBdr>
    </w:div>
    <w:div w:id="39207865">
      <w:marLeft w:val="0"/>
      <w:marRight w:val="0"/>
      <w:marTop w:val="0"/>
      <w:marBottom w:val="0"/>
      <w:divBdr>
        <w:top w:val="none" w:sz="0" w:space="0" w:color="auto"/>
        <w:left w:val="none" w:sz="0" w:space="0" w:color="auto"/>
        <w:bottom w:val="none" w:sz="0" w:space="0" w:color="auto"/>
        <w:right w:val="none" w:sz="0" w:space="0" w:color="auto"/>
      </w:divBdr>
    </w:div>
    <w:div w:id="39207866">
      <w:marLeft w:val="0"/>
      <w:marRight w:val="0"/>
      <w:marTop w:val="0"/>
      <w:marBottom w:val="0"/>
      <w:divBdr>
        <w:top w:val="none" w:sz="0" w:space="0" w:color="auto"/>
        <w:left w:val="none" w:sz="0" w:space="0" w:color="auto"/>
        <w:bottom w:val="none" w:sz="0" w:space="0" w:color="auto"/>
        <w:right w:val="none" w:sz="0" w:space="0" w:color="auto"/>
      </w:divBdr>
    </w:div>
    <w:div w:id="39207867">
      <w:marLeft w:val="0"/>
      <w:marRight w:val="0"/>
      <w:marTop w:val="0"/>
      <w:marBottom w:val="0"/>
      <w:divBdr>
        <w:top w:val="none" w:sz="0" w:space="0" w:color="auto"/>
        <w:left w:val="none" w:sz="0" w:space="0" w:color="auto"/>
        <w:bottom w:val="none" w:sz="0" w:space="0" w:color="auto"/>
        <w:right w:val="none" w:sz="0" w:space="0" w:color="auto"/>
      </w:divBdr>
    </w:div>
    <w:div w:id="39207868">
      <w:marLeft w:val="0"/>
      <w:marRight w:val="0"/>
      <w:marTop w:val="0"/>
      <w:marBottom w:val="0"/>
      <w:divBdr>
        <w:top w:val="none" w:sz="0" w:space="0" w:color="auto"/>
        <w:left w:val="none" w:sz="0" w:space="0" w:color="auto"/>
        <w:bottom w:val="none" w:sz="0" w:space="0" w:color="auto"/>
        <w:right w:val="none" w:sz="0" w:space="0" w:color="auto"/>
      </w:divBdr>
    </w:div>
    <w:div w:id="39207869">
      <w:marLeft w:val="0"/>
      <w:marRight w:val="0"/>
      <w:marTop w:val="0"/>
      <w:marBottom w:val="0"/>
      <w:divBdr>
        <w:top w:val="none" w:sz="0" w:space="0" w:color="auto"/>
        <w:left w:val="none" w:sz="0" w:space="0" w:color="auto"/>
        <w:bottom w:val="none" w:sz="0" w:space="0" w:color="auto"/>
        <w:right w:val="none" w:sz="0" w:space="0" w:color="auto"/>
      </w:divBdr>
    </w:div>
    <w:div w:id="39207870">
      <w:marLeft w:val="0"/>
      <w:marRight w:val="0"/>
      <w:marTop w:val="0"/>
      <w:marBottom w:val="0"/>
      <w:divBdr>
        <w:top w:val="none" w:sz="0" w:space="0" w:color="auto"/>
        <w:left w:val="none" w:sz="0" w:space="0" w:color="auto"/>
        <w:bottom w:val="none" w:sz="0" w:space="0" w:color="auto"/>
        <w:right w:val="none" w:sz="0" w:space="0" w:color="auto"/>
      </w:divBdr>
    </w:div>
    <w:div w:id="39207871">
      <w:marLeft w:val="0"/>
      <w:marRight w:val="0"/>
      <w:marTop w:val="0"/>
      <w:marBottom w:val="0"/>
      <w:divBdr>
        <w:top w:val="none" w:sz="0" w:space="0" w:color="auto"/>
        <w:left w:val="none" w:sz="0" w:space="0" w:color="auto"/>
        <w:bottom w:val="none" w:sz="0" w:space="0" w:color="auto"/>
        <w:right w:val="none" w:sz="0" w:space="0" w:color="auto"/>
      </w:divBdr>
    </w:div>
    <w:div w:id="39207872">
      <w:marLeft w:val="0"/>
      <w:marRight w:val="0"/>
      <w:marTop w:val="0"/>
      <w:marBottom w:val="0"/>
      <w:divBdr>
        <w:top w:val="none" w:sz="0" w:space="0" w:color="auto"/>
        <w:left w:val="none" w:sz="0" w:space="0" w:color="auto"/>
        <w:bottom w:val="none" w:sz="0" w:space="0" w:color="auto"/>
        <w:right w:val="none" w:sz="0" w:space="0" w:color="auto"/>
      </w:divBdr>
    </w:div>
    <w:div w:id="39207873">
      <w:marLeft w:val="0"/>
      <w:marRight w:val="0"/>
      <w:marTop w:val="0"/>
      <w:marBottom w:val="0"/>
      <w:divBdr>
        <w:top w:val="none" w:sz="0" w:space="0" w:color="auto"/>
        <w:left w:val="none" w:sz="0" w:space="0" w:color="auto"/>
        <w:bottom w:val="none" w:sz="0" w:space="0" w:color="auto"/>
        <w:right w:val="none" w:sz="0" w:space="0" w:color="auto"/>
      </w:divBdr>
    </w:div>
    <w:div w:id="39207874">
      <w:marLeft w:val="0"/>
      <w:marRight w:val="0"/>
      <w:marTop w:val="0"/>
      <w:marBottom w:val="0"/>
      <w:divBdr>
        <w:top w:val="none" w:sz="0" w:space="0" w:color="auto"/>
        <w:left w:val="none" w:sz="0" w:space="0" w:color="auto"/>
        <w:bottom w:val="none" w:sz="0" w:space="0" w:color="auto"/>
        <w:right w:val="none" w:sz="0" w:space="0" w:color="auto"/>
      </w:divBdr>
    </w:div>
    <w:div w:id="39207875">
      <w:marLeft w:val="0"/>
      <w:marRight w:val="0"/>
      <w:marTop w:val="0"/>
      <w:marBottom w:val="0"/>
      <w:divBdr>
        <w:top w:val="none" w:sz="0" w:space="0" w:color="auto"/>
        <w:left w:val="none" w:sz="0" w:space="0" w:color="auto"/>
        <w:bottom w:val="none" w:sz="0" w:space="0" w:color="auto"/>
        <w:right w:val="none" w:sz="0" w:space="0" w:color="auto"/>
      </w:divBdr>
    </w:div>
    <w:div w:id="39207876">
      <w:marLeft w:val="0"/>
      <w:marRight w:val="0"/>
      <w:marTop w:val="0"/>
      <w:marBottom w:val="0"/>
      <w:divBdr>
        <w:top w:val="none" w:sz="0" w:space="0" w:color="auto"/>
        <w:left w:val="none" w:sz="0" w:space="0" w:color="auto"/>
        <w:bottom w:val="none" w:sz="0" w:space="0" w:color="auto"/>
        <w:right w:val="none" w:sz="0" w:space="0" w:color="auto"/>
      </w:divBdr>
    </w:div>
    <w:div w:id="39207877">
      <w:marLeft w:val="0"/>
      <w:marRight w:val="0"/>
      <w:marTop w:val="0"/>
      <w:marBottom w:val="0"/>
      <w:divBdr>
        <w:top w:val="none" w:sz="0" w:space="0" w:color="auto"/>
        <w:left w:val="none" w:sz="0" w:space="0" w:color="auto"/>
        <w:bottom w:val="none" w:sz="0" w:space="0" w:color="auto"/>
        <w:right w:val="none" w:sz="0" w:space="0" w:color="auto"/>
      </w:divBdr>
    </w:div>
    <w:div w:id="39207878">
      <w:marLeft w:val="0"/>
      <w:marRight w:val="0"/>
      <w:marTop w:val="0"/>
      <w:marBottom w:val="0"/>
      <w:divBdr>
        <w:top w:val="none" w:sz="0" w:space="0" w:color="auto"/>
        <w:left w:val="none" w:sz="0" w:space="0" w:color="auto"/>
        <w:bottom w:val="none" w:sz="0" w:space="0" w:color="auto"/>
        <w:right w:val="none" w:sz="0" w:space="0" w:color="auto"/>
      </w:divBdr>
    </w:div>
    <w:div w:id="39207879">
      <w:marLeft w:val="0"/>
      <w:marRight w:val="0"/>
      <w:marTop w:val="0"/>
      <w:marBottom w:val="0"/>
      <w:divBdr>
        <w:top w:val="none" w:sz="0" w:space="0" w:color="auto"/>
        <w:left w:val="none" w:sz="0" w:space="0" w:color="auto"/>
        <w:bottom w:val="none" w:sz="0" w:space="0" w:color="auto"/>
        <w:right w:val="none" w:sz="0" w:space="0" w:color="auto"/>
      </w:divBdr>
    </w:div>
    <w:div w:id="39207880">
      <w:marLeft w:val="0"/>
      <w:marRight w:val="0"/>
      <w:marTop w:val="0"/>
      <w:marBottom w:val="0"/>
      <w:divBdr>
        <w:top w:val="none" w:sz="0" w:space="0" w:color="auto"/>
        <w:left w:val="none" w:sz="0" w:space="0" w:color="auto"/>
        <w:bottom w:val="none" w:sz="0" w:space="0" w:color="auto"/>
        <w:right w:val="none" w:sz="0" w:space="0" w:color="auto"/>
      </w:divBdr>
    </w:div>
    <w:div w:id="39207881">
      <w:marLeft w:val="0"/>
      <w:marRight w:val="0"/>
      <w:marTop w:val="0"/>
      <w:marBottom w:val="0"/>
      <w:divBdr>
        <w:top w:val="none" w:sz="0" w:space="0" w:color="auto"/>
        <w:left w:val="none" w:sz="0" w:space="0" w:color="auto"/>
        <w:bottom w:val="none" w:sz="0" w:space="0" w:color="auto"/>
        <w:right w:val="none" w:sz="0" w:space="0" w:color="auto"/>
      </w:divBdr>
    </w:div>
    <w:div w:id="39207882">
      <w:marLeft w:val="0"/>
      <w:marRight w:val="0"/>
      <w:marTop w:val="0"/>
      <w:marBottom w:val="0"/>
      <w:divBdr>
        <w:top w:val="none" w:sz="0" w:space="0" w:color="auto"/>
        <w:left w:val="none" w:sz="0" w:space="0" w:color="auto"/>
        <w:bottom w:val="none" w:sz="0" w:space="0" w:color="auto"/>
        <w:right w:val="none" w:sz="0" w:space="0" w:color="auto"/>
      </w:divBdr>
    </w:div>
    <w:div w:id="39207883">
      <w:marLeft w:val="0"/>
      <w:marRight w:val="0"/>
      <w:marTop w:val="0"/>
      <w:marBottom w:val="0"/>
      <w:divBdr>
        <w:top w:val="none" w:sz="0" w:space="0" w:color="auto"/>
        <w:left w:val="none" w:sz="0" w:space="0" w:color="auto"/>
        <w:bottom w:val="none" w:sz="0" w:space="0" w:color="auto"/>
        <w:right w:val="none" w:sz="0" w:space="0" w:color="auto"/>
      </w:divBdr>
    </w:div>
    <w:div w:id="39207884">
      <w:marLeft w:val="0"/>
      <w:marRight w:val="0"/>
      <w:marTop w:val="0"/>
      <w:marBottom w:val="0"/>
      <w:divBdr>
        <w:top w:val="none" w:sz="0" w:space="0" w:color="auto"/>
        <w:left w:val="none" w:sz="0" w:space="0" w:color="auto"/>
        <w:bottom w:val="none" w:sz="0" w:space="0" w:color="auto"/>
        <w:right w:val="none" w:sz="0" w:space="0" w:color="auto"/>
      </w:divBdr>
    </w:div>
    <w:div w:id="39207885">
      <w:marLeft w:val="0"/>
      <w:marRight w:val="0"/>
      <w:marTop w:val="0"/>
      <w:marBottom w:val="0"/>
      <w:divBdr>
        <w:top w:val="none" w:sz="0" w:space="0" w:color="auto"/>
        <w:left w:val="none" w:sz="0" w:space="0" w:color="auto"/>
        <w:bottom w:val="none" w:sz="0" w:space="0" w:color="auto"/>
        <w:right w:val="none" w:sz="0" w:space="0" w:color="auto"/>
      </w:divBdr>
    </w:div>
    <w:div w:id="39207886">
      <w:marLeft w:val="0"/>
      <w:marRight w:val="0"/>
      <w:marTop w:val="0"/>
      <w:marBottom w:val="0"/>
      <w:divBdr>
        <w:top w:val="none" w:sz="0" w:space="0" w:color="auto"/>
        <w:left w:val="none" w:sz="0" w:space="0" w:color="auto"/>
        <w:bottom w:val="none" w:sz="0" w:space="0" w:color="auto"/>
        <w:right w:val="none" w:sz="0" w:space="0" w:color="auto"/>
      </w:divBdr>
    </w:div>
    <w:div w:id="39207887">
      <w:marLeft w:val="0"/>
      <w:marRight w:val="0"/>
      <w:marTop w:val="0"/>
      <w:marBottom w:val="0"/>
      <w:divBdr>
        <w:top w:val="none" w:sz="0" w:space="0" w:color="auto"/>
        <w:left w:val="none" w:sz="0" w:space="0" w:color="auto"/>
        <w:bottom w:val="none" w:sz="0" w:space="0" w:color="auto"/>
        <w:right w:val="none" w:sz="0" w:space="0" w:color="auto"/>
      </w:divBdr>
    </w:div>
    <w:div w:id="39207888">
      <w:marLeft w:val="0"/>
      <w:marRight w:val="0"/>
      <w:marTop w:val="0"/>
      <w:marBottom w:val="0"/>
      <w:divBdr>
        <w:top w:val="none" w:sz="0" w:space="0" w:color="auto"/>
        <w:left w:val="none" w:sz="0" w:space="0" w:color="auto"/>
        <w:bottom w:val="none" w:sz="0" w:space="0" w:color="auto"/>
        <w:right w:val="none" w:sz="0" w:space="0" w:color="auto"/>
      </w:divBdr>
    </w:div>
    <w:div w:id="39207889">
      <w:marLeft w:val="0"/>
      <w:marRight w:val="0"/>
      <w:marTop w:val="0"/>
      <w:marBottom w:val="0"/>
      <w:divBdr>
        <w:top w:val="none" w:sz="0" w:space="0" w:color="auto"/>
        <w:left w:val="none" w:sz="0" w:space="0" w:color="auto"/>
        <w:bottom w:val="none" w:sz="0" w:space="0" w:color="auto"/>
        <w:right w:val="none" w:sz="0" w:space="0" w:color="auto"/>
      </w:divBdr>
    </w:div>
    <w:div w:id="39207890">
      <w:marLeft w:val="0"/>
      <w:marRight w:val="0"/>
      <w:marTop w:val="0"/>
      <w:marBottom w:val="0"/>
      <w:divBdr>
        <w:top w:val="none" w:sz="0" w:space="0" w:color="auto"/>
        <w:left w:val="none" w:sz="0" w:space="0" w:color="auto"/>
        <w:bottom w:val="none" w:sz="0" w:space="0" w:color="auto"/>
        <w:right w:val="none" w:sz="0" w:space="0" w:color="auto"/>
      </w:divBdr>
    </w:div>
    <w:div w:id="39207891">
      <w:marLeft w:val="0"/>
      <w:marRight w:val="0"/>
      <w:marTop w:val="0"/>
      <w:marBottom w:val="0"/>
      <w:divBdr>
        <w:top w:val="none" w:sz="0" w:space="0" w:color="auto"/>
        <w:left w:val="none" w:sz="0" w:space="0" w:color="auto"/>
        <w:bottom w:val="none" w:sz="0" w:space="0" w:color="auto"/>
        <w:right w:val="none" w:sz="0" w:space="0" w:color="auto"/>
      </w:divBdr>
    </w:div>
    <w:div w:id="39207892">
      <w:marLeft w:val="0"/>
      <w:marRight w:val="0"/>
      <w:marTop w:val="0"/>
      <w:marBottom w:val="0"/>
      <w:divBdr>
        <w:top w:val="none" w:sz="0" w:space="0" w:color="auto"/>
        <w:left w:val="none" w:sz="0" w:space="0" w:color="auto"/>
        <w:bottom w:val="none" w:sz="0" w:space="0" w:color="auto"/>
        <w:right w:val="none" w:sz="0" w:space="0" w:color="auto"/>
      </w:divBdr>
    </w:div>
    <w:div w:id="39207893">
      <w:marLeft w:val="0"/>
      <w:marRight w:val="0"/>
      <w:marTop w:val="0"/>
      <w:marBottom w:val="0"/>
      <w:divBdr>
        <w:top w:val="none" w:sz="0" w:space="0" w:color="auto"/>
        <w:left w:val="none" w:sz="0" w:space="0" w:color="auto"/>
        <w:bottom w:val="none" w:sz="0" w:space="0" w:color="auto"/>
        <w:right w:val="none" w:sz="0" w:space="0" w:color="auto"/>
      </w:divBdr>
    </w:div>
    <w:div w:id="39207894">
      <w:marLeft w:val="0"/>
      <w:marRight w:val="0"/>
      <w:marTop w:val="0"/>
      <w:marBottom w:val="0"/>
      <w:divBdr>
        <w:top w:val="none" w:sz="0" w:space="0" w:color="auto"/>
        <w:left w:val="none" w:sz="0" w:space="0" w:color="auto"/>
        <w:bottom w:val="none" w:sz="0" w:space="0" w:color="auto"/>
        <w:right w:val="none" w:sz="0" w:space="0" w:color="auto"/>
      </w:divBdr>
    </w:div>
    <w:div w:id="39207895">
      <w:marLeft w:val="0"/>
      <w:marRight w:val="0"/>
      <w:marTop w:val="0"/>
      <w:marBottom w:val="0"/>
      <w:divBdr>
        <w:top w:val="none" w:sz="0" w:space="0" w:color="auto"/>
        <w:left w:val="none" w:sz="0" w:space="0" w:color="auto"/>
        <w:bottom w:val="none" w:sz="0" w:space="0" w:color="auto"/>
        <w:right w:val="none" w:sz="0" w:space="0" w:color="auto"/>
      </w:divBdr>
    </w:div>
    <w:div w:id="39207896">
      <w:marLeft w:val="0"/>
      <w:marRight w:val="0"/>
      <w:marTop w:val="0"/>
      <w:marBottom w:val="0"/>
      <w:divBdr>
        <w:top w:val="none" w:sz="0" w:space="0" w:color="auto"/>
        <w:left w:val="none" w:sz="0" w:space="0" w:color="auto"/>
        <w:bottom w:val="none" w:sz="0" w:space="0" w:color="auto"/>
        <w:right w:val="none" w:sz="0" w:space="0" w:color="auto"/>
      </w:divBdr>
    </w:div>
    <w:div w:id="39207897">
      <w:marLeft w:val="0"/>
      <w:marRight w:val="0"/>
      <w:marTop w:val="0"/>
      <w:marBottom w:val="0"/>
      <w:divBdr>
        <w:top w:val="none" w:sz="0" w:space="0" w:color="auto"/>
        <w:left w:val="none" w:sz="0" w:space="0" w:color="auto"/>
        <w:bottom w:val="none" w:sz="0" w:space="0" w:color="auto"/>
        <w:right w:val="none" w:sz="0" w:space="0" w:color="auto"/>
      </w:divBdr>
    </w:div>
    <w:div w:id="39207898">
      <w:marLeft w:val="0"/>
      <w:marRight w:val="0"/>
      <w:marTop w:val="0"/>
      <w:marBottom w:val="0"/>
      <w:divBdr>
        <w:top w:val="none" w:sz="0" w:space="0" w:color="auto"/>
        <w:left w:val="none" w:sz="0" w:space="0" w:color="auto"/>
        <w:bottom w:val="none" w:sz="0" w:space="0" w:color="auto"/>
        <w:right w:val="none" w:sz="0" w:space="0" w:color="auto"/>
      </w:divBdr>
    </w:div>
    <w:div w:id="39207899">
      <w:marLeft w:val="0"/>
      <w:marRight w:val="0"/>
      <w:marTop w:val="0"/>
      <w:marBottom w:val="0"/>
      <w:divBdr>
        <w:top w:val="none" w:sz="0" w:space="0" w:color="auto"/>
        <w:left w:val="none" w:sz="0" w:space="0" w:color="auto"/>
        <w:bottom w:val="none" w:sz="0" w:space="0" w:color="auto"/>
        <w:right w:val="none" w:sz="0" w:space="0" w:color="auto"/>
      </w:divBdr>
    </w:div>
    <w:div w:id="39207900">
      <w:marLeft w:val="0"/>
      <w:marRight w:val="0"/>
      <w:marTop w:val="0"/>
      <w:marBottom w:val="0"/>
      <w:divBdr>
        <w:top w:val="none" w:sz="0" w:space="0" w:color="auto"/>
        <w:left w:val="none" w:sz="0" w:space="0" w:color="auto"/>
        <w:bottom w:val="none" w:sz="0" w:space="0" w:color="auto"/>
        <w:right w:val="none" w:sz="0" w:space="0" w:color="auto"/>
      </w:divBdr>
    </w:div>
    <w:div w:id="39207901">
      <w:marLeft w:val="0"/>
      <w:marRight w:val="0"/>
      <w:marTop w:val="0"/>
      <w:marBottom w:val="0"/>
      <w:divBdr>
        <w:top w:val="none" w:sz="0" w:space="0" w:color="auto"/>
        <w:left w:val="none" w:sz="0" w:space="0" w:color="auto"/>
        <w:bottom w:val="none" w:sz="0" w:space="0" w:color="auto"/>
        <w:right w:val="none" w:sz="0" w:space="0" w:color="auto"/>
      </w:divBdr>
    </w:div>
    <w:div w:id="39207902">
      <w:marLeft w:val="0"/>
      <w:marRight w:val="0"/>
      <w:marTop w:val="0"/>
      <w:marBottom w:val="0"/>
      <w:divBdr>
        <w:top w:val="none" w:sz="0" w:space="0" w:color="auto"/>
        <w:left w:val="none" w:sz="0" w:space="0" w:color="auto"/>
        <w:bottom w:val="none" w:sz="0" w:space="0" w:color="auto"/>
        <w:right w:val="none" w:sz="0" w:space="0" w:color="auto"/>
      </w:divBdr>
    </w:div>
    <w:div w:id="39207903">
      <w:marLeft w:val="0"/>
      <w:marRight w:val="0"/>
      <w:marTop w:val="0"/>
      <w:marBottom w:val="0"/>
      <w:divBdr>
        <w:top w:val="none" w:sz="0" w:space="0" w:color="auto"/>
        <w:left w:val="none" w:sz="0" w:space="0" w:color="auto"/>
        <w:bottom w:val="none" w:sz="0" w:space="0" w:color="auto"/>
        <w:right w:val="none" w:sz="0" w:space="0" w:color="auto"/>
      </w:divBdr>
    </w:div>
    <w:div w:id="39207904">
      <w:marLeft w:val="0"/>
      <w:marRight w:val="0"/>
      <w:marTop w:val="0"/>
      <w:marBottom w:val="0"/>
      <w:divBdr>
        <w:top w:val="none" w:sz="0" w:space="0" w:color="auto"/>
        <w:left w:val="none" w:sz="0" w:space="0" w:color="auto"/>
        <w:bottom w:val="none" w:sz="0" w:space="0" w:color="auto"/>
        <w:right w:val="none" w:sz="0" w:space="0" w:color="auto"/>
      </w:divBdr>
    </w:div>
    <w:div w:id="39207905">
      <w:marLeft w:val="0"/>
      <w:marRight w:val="0"/>
      <w:marTop w:val="0"/>
      <w:marBottom w:val="0"/>
      <w:divBdr>
        <w:top w:val="none" w:sz="0" w:space="0" w:color="auto"/>
        <w:left w:val="none" w:sz="0" w:space="0" w:color="auto"/>
        <w:bottom w:val="none" w:sz="0" w:space="0" w:color="auto"/>
        <w:right w:val="none" w:sz="0" w:space="0" w:color="auto"/>
      </w:divBdr>
    </w:div>
    <w:div w:id="39207906">
      <w:marLeft w:val="0"/>
      <w:marRight w:val="0"/>
      <w:marTop w:val="0"/>
      <w:marBottom w:val="0"/>
      <w:divBdr>
        <w:top w:val="none" w:sz="0" w:space="0" w:color="auto"/>
        <w:left w:val="none" w:sz="0" w:space="0" w:color="auto"/>
        <w:bottom w:val="none" w:sz="0" w:space="0" w:color="auto"/>
        <w:right w:val="none" w:sz="0" w:space="0" w:color="auto"/>
      </w:divBdr>
    </w:div>
    <w:div w:id="39207907">
      <w:marLeft w:val="0"/>
      <w:marRight w:val="0"/>
      <w:marTop w:val="0"/>
      <w:marBottom w:val="0"/>
      <w:divBdr>
        <w:top w:val="none" w:sz="0" w:space="0" w:color="auto"/>
        <w:left w:val="none" w:sz="0" w:space="0" w:color="auto"/>
        <w:bottom w:val="none" w:sz="0" w:space="0" w:color="auto"/>
        <w:right w:val="none" w:sz="0" w:space="0" w:color="auto"/>
      </w:divBdr>
    </w:div>
    <w:div w:id="39207908">
      <w:marLeft w:val="0"/>
      <w:marRight w:val="0"/>
      <w:marTop w:val="0"/>
      <w:marBottom w:val="0"/>
      <w:divBdr>
        <w:top w:val="none" w:sz="0" w:space="0" w:color="auto"/>
        <w:left w:val="none" w:sz="0" w:space="0" w:color="auto"/>
        <w:bottom w:val="none" w:sz="0" w:space="0" w:color="auto"/>
        <w:right w:val="none" w:sz="0" w:space="0" w:color="auto"/>
      </w:divBdr>
    </w:div>
    <w:div w:id="39207909">
      <w:marLeft w:val="0"/>
      <w:marRight w:val="0"/>
      <w:marTop w:val="0"/>
      <w:marBottom w:val="0"/>
      <w:divBdr>
        <w:top w:val="none" w:sz="0" w:space="0" w:color="auto"/>
        <w:left w:val="none" w:sz="0" w:space="0" w:color="auto"/>
        <w:bottom w:val="none" w:sz="0" w:space="0" w:color="auto"/>
        <w:right w:val="none" w:sz="0" w:space="0" w:color="auto"/>
      </w:divBdr>
    </w:div>
    <w:div w:id="39207910">
      <w:marLeft w:val="0"/>
      <w:marRight w:val="0"/>
      <w:marTop w:val="0"/>
      <w:marBottom w:val="0"/>
      <w:divBdr>
        <w:top w:val="none" w:sz="0" w:space="0" w:color="auto"/>
        <w:left w:val="none" w:sz="0" w:space="0" w:color="auto"/>
        <w:bottom w:val="none" w:sz="0" w:space="0" w:color="auto"/>
        <w:right w:val="none" w:sz="0" w:space="0" w:color="auto"/>
      </w:divBdr>
    </w:div>
    <w:div w:id="39207911">
      <w:marLeft w:val="0"/>
      <w:marRight w:val="0"/>
      <w:marTop w:val="0"/>
      <w:marBottom w:val="0"/>
      <w:divBdr>
        <w:top w:val="none" w:sz="0" w:space="0" w:color="auto"/>
        <w:left w:val="none" w:sz="0" w:space="0" w:color="auto"/>
        <w:bottom w:val="none" w:sz="0" w:space="0" w:color="auto"/>
        <w:right w:val="none" w:sz="0" w:space="0" w:color="auto"/>
      </w:divBdr>
    </w:div>
    <w:div w:id="39207912">
      <w:marLeft w:val="0"/>
      <w:marRight w:val="0"/>
      <w:marTop w:val="0"/>
      <w:marBottom w:val="0"/>
      <w:divBdr>
        <w:top w:val="none" w:sz="0" w:space="0" w:color="auto"/>
        <w:left w:val="none" w:sz="0" w:space="0" w:color="auto"/>
        <w:bottom w:val="none" w:sz="0" w:space="0" w:color="auto"/>
        <w:right w:val="none" w:sz="0" w:space="0" w:color="auto"/>
      </w:divBdr>
    </w:div>
    <w:div w:id="39207913">
      <w:marLeft w:val="0"/>
      <w:marRight w:val="0"/>
      <w:marTop w:val="0"/>
      <w:marBottom w:val="0"/>
      <w:divBdr>
        <w:top w:val="none" w:sz="0" w:space="0" w:color="auto"/>
        <w:left w:val="none" w:sz="0" w:space="0" w:color="auto"/>
        <w:bottom w:val="none" w:sz="0" w:space="0" w:color="auto"/>
        <w:right w:val="none" w:sz="0" w:space="0" w:color="auto"/>
      </w:divBdr>
    </w:div>
    <w:div w:id="39207914">
      <w:marLeft w:val="0"/>
      <w:marRight w:val="0"/>
      <w:marTop w:val="0"/>
      <w:marBottom w:val="0"/>
      <w:divBdr>
        <w:top w:val="none" w:sz="0" w:space="0" w:color="auto"/>
        <w:left w:val="none" w:sz="0" w:space="0" w:color="auto"/>
        <w:bottom w:val="none" w:sz="0" w:space="0" w:color="auto"/>
        <w:right w:val="none" w:sz="0" w:space="0" w:color="auto"/>
      </w:divBdr>
    </w:div>
    <w:div w:id="39207915">
      <w:marLeft w:val="0"/>
      <w:marRight w:val="0"/>
      <w:marTop w:val="0"/>
      <w:marBottom w:val="0"/>
      <w:divBdr>
        <w:top w:val="none" w:sz="0" w:space="0" w:color="auto"/>
        <w:left w:val="none" w:sz="0" w:space="0" w:color="auto"/>
        <w:bottom w:val="none" w:sz="0" w:space="0" w:color="auto"/>
        <w:right w:val="none" w:sz="0" w:space="0" w:color="auto"/>
      </w:divBdr>
    </w:div>
    <w:div w:id="39207916">
      <w:marLeft w:val="0"/>
      <w:marRight w:val="0"/>
      <w:marTop w:val="0"/>
      <w:marBottom w:val="0"/>
      <w:divBdr>
        <w:top w:val="none" w:sz="0" w:space="0" w:color="auto"/>
        <w:left w:val="none" w:sz="0" w:space="0" w:color="auto"/>
        <w:bottom w:val="none" w:sz="0" w:space="0" w:color="auto"/>
        <w:right w:val="none" w:sz="0" w:space="0" w:color="auto"/>
      </w:divBdr>
    </w:div>
    <w:div w:id="39207917">
      <w:marLeft w:val="0"/>
      <w:marRight w:val="0"/>
      <w:marTop w:val="0"/>
      <w:marBottom w:val="0"/>
      <w:divBdr>
        <w:top w:val="none" w:sz="0" w:space="0" w:color="auto"/>
        <w:left w:val="none" w:sz="0" w:space="0" w:color="auto"/>
        <w:bottom w:val="none" w:sz="0" w:space="0" w:color="auto"/>
        <w:right w:val="none" w:sz="0" w:space="0" w:color="auto"/>
      </w:divBdr>
    </w:div>
    <w:div w:id="39207918">
      <w:marLeft w:val="0"/>
      <w:marRight w:val="0"/>
      <w:marTop w:val="0"/>
      <w:marBottom w:val="0"/>
      <w:divBdr>
        <w:top w:val="none" w:sz="0" w:space="0" w:color="auto"/>
        <w:left w:val="none" w:sz="0" w:space="0" w:color="auto"/>
        <w:bottom w:val="none" w:sz="0" w:space="0" w:color="auto"/>
        <w:right w:val="none" w:sz="0" w:space="0" w:color="auto"/>
      </w:divBdr>
    </w:div>
    <w:div w:id="39207919">
      <w:marLeft w:val="0"/>
      <w:marRight w:val="0"/>
      <w:marTop w:val="0"/>
      <w:marBottom w:val="0"/>
      <w:divBdr>
        <w:top w:val="none" w:sz="0" w:space="0" w:color="auto"/>
        <w:left w:val="none" w:sz="0" w:space="0" w:color="auto"/>
        <w:bottom w:val="none" w:sz="0" w:space="0" w:color="auto"/>
        <w:right w:val="none" w:sz="0" w:space="0" w:color="auto"/>
      </w:divBdr>
    </w:div>
    <w:div w:id="39207920">
      <w:marLeft w:val="0"/>
      <w:marRight w:val="0"/>
      <w:marTop w:val="0"/>
      <w:marBottom w:val="0"/>
      <w:divBdr>
        <w:top w:val="none" w:sz="0" w:space="0" w:color="auto"/>
        <w:left w:val="none" w:sz="0" w:space="0" w:color="auto"/>
        <w:bottom w:val="none" w:sz="0" w:space="0" w:color="auto"/>
        <w:right w:val="none" w:sz="0" w:space="0" w:color="auto"/>
      </w:divBdr>
    </w:div>
    <w:div w:id="39207921">
      <w:marLeft w:val="0"/>
      <w:marRight w:val="0"/>
      <w:marTop w:val="0"/>
      <w:marBottom w:val="0"/>
      <w:divBdr>
        <w:top w:val="none" w:sz="0" w:space="0" w:color="auto"/>
        <w:left w:val="none" w:sz="0" w:space="0" w:color="auto"/>
        <w:bottom w:val="none" w:sz="0" w:space="0" w:color="auto"/>
        <w:right w:val="none" w:sz="0" w:space="0" w:color="auto"/>
      </w:divBdr>
    </w:div>
    <w:div w:id="39207922">
      <w:marLeft w:val="0"/>
      <w:marRight w:val="0"/>
      <w:marTop w:val="0"/>
      <w:marBottom w:val="0"/>
      <w:divBdr>
        <w:top w:val="none" w:sz="0" w:space="0" w:color="auto"/>
        <w:left w:val="none" w:sz="0" w:space="0" w:color="auto"/>
        <w:bottom w:val="none" w:sz="0" w:space="0" w:color="auto"/>
        <w:right w:val="none" w:sz="0" w:space="0" w:color="auto"/>
      </w:divBdr>
    </w:div>
    <w:div w:id="39207923">
      <w:marLeft w:val="0"/>
      <w:marRight w:val="0"/>
      <w:marTop w:val="0"/>
      <w:marBottom w:val="0"/>
      <w:divBdr>
        <w:top w:val="none" w:sz="0" w:space="0" w:color="auto"/>
        <w:left w:val="none" w:sz="0" w:space="0" w:color="auto"/>
        <w:bottom w:val="none" w:sz="0" w:space="0" w:color="auto"/>
        <w:right w:val="none" w:sz="0" w:space="0" w:color="auto"/>
      </w:divBdr>
    </w:div>
    <w:div w:id="39207924">
      <w:marLeft w:val="0"/>
      <w:marRight w:val="0"/>
      <w:marTop w:val="0"/>
      <w:marBottom w:val="0"/>
      <w:divBdr>
        <w:top w:val="none" w:sz="0" w:space="0" w:color="auto"/>
        <w:left w:val="none" w:sz="0" w:space="0" w:color="auto"/>
        <w:bottom w:val="none" w:sz="0" w:space="0" w:color="auto"/>
        <w:right w:val="none" w:sz="0" w:space="0" w:color="auto"/>
      </w:divBdr>
    </w:div>
    <w:div w:id="39207925">
      <w:marLeft w:val="0"/>
      <w:marRight w:val="0"/>
      <w:marTop w:val="0"/>
      <w:marBottom w:val="0"/>
      <w:divBdr>
        <w:top w:val="none" w:sz="0" w:space="0" w:color="auto"/>
        <w:left w:val="none" w:sz="0" w:space="0" w:color="auto"/>
        <w:bottom w:val="none" w:sz="0" w:space="0" w:color="auto"/>
        <w:right w:val="none" w:sz="0" w:space="0" w:color="auto"/>
      </w:divBdr>
    </w:div>
    <w:div w:id="39207926">
      <w:marLeft w:val="0"/>
      <w:marRight w:val="0"/>
      <w:marTop w:val="0"/>
      <w:marBottom w:val="0"/>
      <w:divBdr>
        <w:top w:val="none" w:sz="0" w:space="0" w:color="auto"/>
        <w:left w:val="none" w:sz="0" w:space="0" w:color="auto"/>
        <w:bottom w:val="none" w:sz="0" w:space="0" w:color="auto"/>
        <w:right w:val="none" w:sz="0" w:space="0" w:color="auto"/>
      </w:divBdr>
    </w:div>
    <w:div w:id="39207927">
      <w:marLeft w:val="0"/>
      <w:marRight w:val="0"/>
      <w:marTop w:val="0"/>
      <w:marBottom w:val="0"/>
      <w:divBdr>
        <w:top w:val="none" w:sz="0" w:space="0" w:color="auto"/>
        <w:left w:val="none" w:sz="0" w:space="0" w:color="auto"/>
        <w:bottom w:val="none" w:sz="0" w:space="0" w:color="auto"/>
        <w:right w:val="none" w:sz="0" w:space="0" w:color="auto"/>
      </w:divBdr>
    </w:div>
    <w:div w:id="39207928">
      <w:marLeft w:val="0"/>
      <w:marRight w:val="0"/>
      <w:marTop w:val="0"/>
      <w:marBottom w:val="0"/>
      <w:divBdr>
        <w:top w:val="none" w:sz="0" w:space="0" w:color="auto"/>
        <w:left w:val="none" w:sz="0" w:space="0" w:color="auto"/>
        <w:bottom w:val="none" w:sz="0" w:space="0" w:color="auto"/>
        <w:right w:val="none" w:sz="0" w:space="0" w:color="auto"/>
      </w:divBdr>
    </w:div>
    <w:div w:id="39207929">
      <w:marLeft w:val="0"/>
      <w:marRight w:val="0"/>
      <w:marTop w:val="0"/>
      <w:marBottom w:val="0"/>
      <w:divBdr>
        <w:top w:val="none" w:sz="0" w:space="0" w:color="auto"/>
        <w:left w:val="none" w:sz="0" w:space="0" w:color="auto"/>
        <w:bottom w:val="none" w:sz="0" w:space="0" w:color="auto"/>
        <w:right w:val="none" w:sz="0" w:space="0" w:color="auto"/>
      </w:divBdr>
    </w:div>
    <w:div w:id="39207930">
      <w:marLeft w:val="0"/>
      <w:marRight w:val="0"/>
      <w:marTop w:val="0"/>
      <w:marBottom w:val="0"/>
      <w:divBdr>
        <w:top w:val="none" w:sz="0" w:space="0" w:color="auto"/>
        <w:left w:val="none" w:sz="0" w:space="0" w:color="auto"/>
        <w:bottom w:val="none" w:sz="0" w:space="0" w:color="auto"/>
        <w:right w:val="none" w:sz="0" w:space="0" w:color="auto"/>
      </w:divBdr>
    </w:div>
    <w:div w:id="39207931">
      <w:marLeft w:val="0"/>
      <w:marRight w:val="0"/>
      <w:marTop w:val="0"/>
      <w:marBottom w:val="0"/>
      <w:divBdr>
        <w:top w:val="none" w:sz="0" w:space="0" w:color="auto"/>
        <w:left w:val="none" w:sz="0" w:space="0" w:color="auto"/>
        <w:bottom w:val="none" w:sz="0" w:space="0" w:color="auto"/>
        <w:right w:val="none" w:sz="0" w:space="0" w:color="auto"/>
      </w:divBdr>
    </w:div>
    <w:div w:id="39207932">
      <w:marLeft w:val="0"/>
      <w:marRight w:val="0"/>
      <w:marTop w:val="0"/>
      <w:marBottom w:val="0"/>
      <w:divBdr>
        <w:top w:val="none" w:sz="0" w:space="0" w:color="auto"/>
        <w:left w:val="none" w:sz="0" w:space="0" w:color="auto"/>
        <w:bottom w:val="none" w:sz="0" w:space="0" w:color="auto"/>
        <w:right w:val="none" w:sz="0" w:space="0" w:color="auto"/>
      </w:divBdr>
    </w:div>
    <w:div w:id="39207933">
      <w:marLeft w:val="0"/>
      <w:marRight w:val="0"/>
      <w:marTop w:val="0"/>
      <w:marBottom w:val="0"/>
      <w:divBdr>
        <w:top w:val="none" w:sz="0" w:space="0" w:color="auto"/>
        <w:left w:val="none" w:sz="0" w:space="0" w:color="auto"/>
        <w:bottom w:val="none" w:sz="0" w:space="0" w:color="auto"/>
        <w:right w:val="none" w:sz="0" w:space="0" w:color="auto"/>
      </w:divBdr>
    </w:div>
    <w:div w:id="39207934">
      <w:marLeft w:val="0"/>
      <w:marRight w:val="0"/>
      <w:marTop w:val="0"/>
      <w:marBottom w:val="0"/>
      <w:divBdr>
        <w:top w:val="none" w:sz="0" w:space="0" w:color="auto"/>
        <w:left w:val="none" w:sz="0" w:space="0" w:color="auto"/>
        <w:bottom w:val="none" w:sz="0" w:space="0" w:color="auto"/>
        <w:right w:val="none" w:sz="0" w:space="0" w:color="auto"/>
      </w:divBdr>
    </w:div>
    <w:div w:id="39207935">
      <w:marLeft w:val="0"/>
      <w:marRight w:val="0"/>
      <w:marTop w:val="0"/>
      <w:marBottom w:val="0"/>
      <w:divBdr>
        <w:top w:val="none" w:sz="0" w:space="0" w:color="auto"/>
        <w:left w:val="none" w:sz="0" w:space="0" w:color="auto"/>
        <w:bottom w:val="none" w:sz="0" w:space="0" w:color="auto"/>
        <w:right w:val="none" w:sz="0" w:space="0" w:color="auto"/>
      </w:divBdr>
    </w:div>
    <w:div w:id="39207936">
      <w:marLeft w:val="0"/>
      <w:marRight w:val="0"/>
      <w:marTop w:val="0"/>
      <w:marBottom w:val="0"/>
      <w:divBdr>
        <w:top w:val="none" w:sz="0" w:space="0" w:color="auto"/>
        <w:left w:val="none" w:sz="0" w:space="0" w:color="auto"/>
        <w:bottom w:val="none" w:sz="0" w:space="0" w:color="auto"/>
        <w:right w:val="none" w:sz="0" w:space="0" w:color="auto"/>
      </w:divBdr>
    </w:div>
    <w:div w:id="39207937">
      <w:marLeft w:val="0"/>
      <w:marRight w:val="0"/>
      <w:marTop w:val="0"/>
      <w:marBottom w:val="0"/>
      <w:divBdr>
        <w:top w:val="none" w:sz="0" w:space="0" w:color="auto"/>
        <w:left w:val="none" w:sz="0" w:space="0" w:color="auto"/>
        <w:bottom w:val="none" w:sz="0" w:space="0" w:color="auto"/>
        <w:right w:val="none" w:sz="0" w:space="0" w:color="auto"/>
      </w:divBdr>
    </w:div>
    <w:div w:id="39207938">
      <w:marLeft w:val="0"/>
      <w:marRight w:val="0"/>
      <w:marTop w:val="0"/>
      <w:marBottom w:val="0"/>
      <w:divBdr>
        <w:top w:val="none" w:sz="0" w:space="0" w:color="auto"/>
        <w:left w:val="none" w:sz="0" w:space="0" w:color="auto"/>
        <w:bottom w:val="none" w:sz="0" w:space="0" w:color="auto"/>
        <w:right w:val="none" w:sz="0" w:space="0" w:color="auto"/>
      </w:divBdr>
    </w:div>
    <w:div w:id="39207939">
      <w:marLeft w:val="0"/>
      <w:marRight w:val="0"/>
      <w:marTop w:val="0"/>
      <w:marBottom w:val="0"/>
      <w:divBdr>
        <w:top w:val="none" w:sz="0" w:space="0" w:color="auto"/>
        <w:left w:val="none" w:sz="0" w:space="0" w:color="auto"/>
        <w:bottom w:val="none" w:sz="0" w:space="0" w:color="auto"/>
        <w:right w:val="none" w:sz="0" w:space="0" w:color="auto"/>
      </w:divBdr>
    </w:div>
    <w:div w:id="39207940">
      <w:marLeft w:val="0"/>
      <w:marRight w:val="0"/>
      <w:marTop w:val="0"/>
      <w:marBottom w:val="0"/>
      <w:divBdr>
        <w:top w:val="none" w:sz="0" w:space="0" w:color="auto"/>
        <w:left w:val="none" w:sz="0" w:space="0" w:color="auto"/>
        <w:bottom w:val="none" w:sz="0" w:space="0" w:color="auto"/>
        <w:right w:val="none" w:sz="0" w:space="0" w:color="auto"/>
      </w:divBdr>
    </w:div>
    <w:div w:id="39207941">
      <w:marLeft w:val="0"/>
      <w:marRight w:val="0"/>
      <w:marTop w:val="0"/>
      <w:marBottom w:val="0"/>
      <w:divBdr>
        <w:top w:val="none" w:sz="0" w:space="0" w:color="auto"/>
        <w:left w:val="none" w:sz="0" w:space="0" w:color="auto"/>
        <w:bottom w:val="none" w:sz="0" w:space="0" w:color="auto"/>
        <w:right w:val="none" w:sz="0" w:space="0" w:color="auto"/>
      </w:divBdr>
    </w:div>
    <w:div w:id="39207942">
      <w:marLeft w:val="0"/>
      <w:marRight w:val="0"/>
      <w:marTop w:val="0"/>
      <w:marBottom w:val="0"/>
      <w:divBdr>
        <w:top w:val="none" w:sz="0" w:space="0" w:color="auto"/>
        <w:left w:val="none" w:sz="0" w:space="0" w:color="auto"/>
        <w:bottom w:val="none" w:sz="0" w:space="0" w:color="auto"/>
        <w:right w:val="none" w:sz="0" w:space="0" w:color="auto"/>
      </w:divBdr>
    </w:div>
    <w:div w:id="39207943">
      <w:marLeft w:val="0"/>
      <w:marRight w:val="0"/>
      <w:marTop w:val="0"/>
      <w:marBottom w:val="0"/>
      <w:divBdr>
        <w:top w:val="none" w:sz="0" w:space="0" w:color="auto"/>
        <w:left w:val="none" w:sz="0" w:space="0" w:color="auto"/>
        <w:bottom w:val="none" w:sz="0" w:space="0" w:color="auto"/>
        <w:right w:val="none" w:sz="0" w:space="0" w:color="auto"/>
      </w:divBdr>
    </w:div>
    <w:div w:id="39207944">
      <w:marLeft w:val="0"/>
      <w:marRight w:val="0"/>
      <w:marTop w:val="0"/>
      <w:marBottom w:val="0"/>
      <w:divBdr>
        <w:top w:val="none" w:sz="0" w:space="0" w:color="auto"/>
        <w:left w:val="none" w:sz="0" w:space="0" w:color="auto"/>
        <w:bottom w:val="none" w:sz="0" w:space="0" w:color="auto"/>
        <w:right w:val="none" w:sz="0" w:space="0" w:color="auto"/>
      </w:divBdr>
    </w:div>
    <w:div w:id="39207945">
      <w:marLeft w:val="0"/>
      <w:marRight w:val="0"/>
      <w:marTop w:val="0"/>
      <w:marBottom w:val="0"/>
      <w:divBdr>
        <w:top w:val="none" w:sz="0" w:space="0" w:color="auto"/>
        <w:left w:val="none" w:sz="0" w:space="0" w:color="auto"/>
        <w:bottom w:val="none" w:sz="0" w:space="0" w:color="auto"/>
        <w:right w:val="none" w:sz="0" w:space="0" w:color="auto"/>
      </w:divBdr>
    </w:div>
    <w:div w:id="39207946">
      <w:marLeft w:val="0"/>
      <w:marRight w:val="0"/>
      <w:marTop w:val="0"/>
      <w:marBottom w:val="0"/>
      <w:divBdr>
        <w:top w:val="none" w:sz="0" w:space="0" w:color="auto"/>
        <w:left w:val="none" w:sz="0" w:space="0" w:color="auto"/>
        <w:bottom w:val="none" w:sz="0" w:space="0" w:color="auto"/>
        <w:right w:val="none" w:sz="0" w:space="0" w:color="auto"/>
      </w:divBdr>
    </w:div>
    <w:div w:id="39207947">
      <w:marLeft w:val="0"/>
      <w:marRight w:val="0"/>
      <w:marTop w:val="0"/>
      <w:marBottom w:val="0"/>
      <w:divBdr>
        <w:top w:val="none" w:sz="0" w:space="0" w:color="auto"/>
        <w:left w:val="none" w:sz="0" w:space="0" w:color="auto"/>
        <w:bottom w:val="none" w:sz="0" w:space="0" w:color="auto"/>
        <w:right w:val="none" w:sz="0" w:space="0" w:color="auto"/>
      </w:divBdr>
    </w:div>
    <w:div w:id="39207948">
      <w:marLeft w:val="0"/>
      <w:marRight w:val="0"/>
      <w:marTop w:val="0"/>
      <w:marBottom w:val="0"/>
      <w:divBdr>
        <w:top w:val="none" w:sz="0" w:space="0" w:color="auto"/>
        <w:left w:val="none" w:sz="0" w:space="0" w:color="auto"/>
        <w:bottom w:val="none" w:sz="0" w:space="0" w:color="auto"/>
        <w:right w:val="none" w:sz="0" w:space="0" w:color="auto"/>
      </w:divBdr>
    </w:div>
    <w:div w:id="39207949">
      <w:marLeft w:val="0"/>
      <w:marRight w:val="0"/>
      <w:marTop w:val="0"/>
      <w:marBottom w:val="0"/>
      <w:divBdr>
        <w:top w:val="none" w:sz="0" w:space="0" w:color="auto"/>
        <w:left w:val="none" w:sz="0" w:space="0" w:color="auto"/>
        <w:bottom w:val="none" w:sz="0" w:space="0" w:color="auto"/>
        <w:right w:val="none" w:sz="0" w:space="0" w:color="auto"/>
      </w:divBdr>
    </w:div>
    <w:div w:id="39207950">
      <w:marLeft w:val="0"/>
      <w:marRight w:val="0"/>
      <w:marTop w:val="0"/>
      <w:marBottom w:val="0"/>
      <w:divBdr>
        <w:top w:val="none" w:sz="0" w:space="0" w:color="auto"/>
        <w:left w:val="none" w:sz="0" w:space="0" w:color="auto"/>
        <w:bottom w:val="none" w:sz="0" w:space="0" w:color="auto"/>
        <w:right w:val="none" w:sz="0" w:space="0" w:color="auto"/>
      </w:divBdr>
    </w:div>
    <w:div w:id="39207951">
      <w:marLeft w:val="0"/>
      <w:marRight w:val="0"/>
      <w:marTop w:val="0"/>
      <w:marBottom w:val="0"/>
      <w:divBdr>
        <w:top w:val="none" w:sz="0" w:space="0" w:color="auto"/>
        <w:left w:val="none" w:sz="0" w:space="0" w:color="auto"/>
        <w:bottom w:val="none" w:sz="0" w:space="0" w:color="auto"/>
        <w:right w:val="none" w:sz="0" w:space="0" w:color="auto"/>
      </w:divBdr>
    </w:div>
    <w:div w:id="39207952">
      <w:marLeft w:val="0"/>
      <w:marRight w:val="0"/>
      <w:marTop w:val="0"/>
      <w:marBottom w:val="0"/>
      <w:divBdr>
        <w:top w:val="none" w:sz="0" w:space="0" w:color="auto"/>
        <w:left w:val="none" w:sz="0" w:space="0" w:color="auto"/>
        <w:bottom w:val="none" w:sz="0" w:space="0" w:color="auto"/>
        <w:right w:val="none" w:sz="0" w:space="0" w:color="auto"/>
      </w:divBdr>
    </w:div>
    <w:div w:id="39207953">
      <w:marLeft w:val="0"/>
      <w:marRight w:val="0"/>
      <w:marTop w:val="0"/>
      <w:marBottom w:val="0"/>
      <w:divBdr>
        <w:top w:val="none" w:sz="0" w:space="0" w:color="auto"/>
        <w:left w:val="none" w:sz="0" w:space="0" w:color="auto"/>
        <w:bottom w:val="none" w:sz="0" w:space="0" w:color="auto"/>
        <w:right w:val="none" w:sz="0" w:space="0" w:color="auto"/>
      </w:divBdr>
    </w:div>
    <w:div w:id="39207954">
      <w:marLeft w:val="0"/>
      <w:marRight w:val="0"/>
      <w:marTop w:val="0"/>
      <w:marBottom w:val="0"/>
      <w:divBdr>
        <w:top w:val="none" w:sz="0" w:space="0" w:color="auto"/>
        <w:left w:val="none" w:sz="0" w:space="0" w:color="auto"/>
        <w:bottom w:val="none" w:sz="0" w:space="0" w:color="auto"/>
        <w:right w:val="none" w:sz="0" w:space="0" w:color="auto"/>
      </w:divBdr>
    </w:div>
    <w:div w:id="39207955">
      <w:marLeft w:val="0"/>
      <w:marRight w:val="0"/>
      <w:marTop w:val="0"/>
      <w:marBottom w:val="0"/>
      <w:divBdr>
        <w:top w:val="none" w:sz="0" w:space="0" w:color="auto"/>
        <w:left w:val="none" w:sz="0" w:space="0" w:color="auto"/>
        <w:bottom w:val="none" w:sz="0" w:space="0" w:color="auto"/>
        <w:right w:val="none" w:sz="0" w:space="0" w:color="auto"/>
      </w:divBdr>
    </w:div>
    <w:div w:id="39207956">
      <w:marLeft w:val="0"/>
      <w:marRight w:val="0"/>
      <w:marTop w:val="0"/>
      <w:marBottom w:val="0"/>
      <w:divBdr>
        <w:top w:val="none" w:sz="0" w:space="0" w:color="auto"/>
        <w:left w:val="none" w:sz="0" w:space="0" w:color="auto"/>
        <w:bottom w:val="none" w:sz="0" w:space="0" w:color="auto"/>
        <w:right w:val="none" w:sz="0" w:space="0" w:color="auto"/>
      </w:divBdr>
    </w:div>
    <w:div w:id="39207957">
      <w:marLeft w:val="0"/>
      <w:marRight w:val="0"/>
      <w:marTop w:val="0"/>
      <w:marBottom w:val="0"/>
      <w:divBdr>
        <w:top w:val="none" w:sz="0" w:space="0" w:color="auto"/>
        <w:left w:val="none" w:sz="0" w:space="0" w:color="auto"/>
        <w:bottom w:val="none" w:sz="0" w:space="0" w:color="auto"/>
        <w:right w:val="none" w:sz="0" w:space="0" w:color="auto"/>
      </w:divBdr>
    </w:div>
    <w:div w:id="39207958">
      <w:marLeft w:val="0"/>
      <w:marRight w:val="0"/>
      <w:marTop w:val="0"/>
      <w:marBottom w:val="0"/>
      <w:divBdr>
        <w:top w:val="none" w:sz="0" w:space="0" w:color="auto"/>
        <w:left w:val="none" w:sz="0" w:space="0" w:color="auto"/>
        <w:bottom w:val="none" w:sz="0" w:space="0" w:color="auto"/>
        <w:right w:val="none" w:sz="0" w:space="0" w:color="auto"/>
      </w:divBdr>
    </w:div>
    <w:div w:id="39207959">
      <w:marLeft w:val="0"/>
      <w:marRight w:val="0"/>
      <w:marTop w:val="0"/>
      <w:marBottom w:val="0"/>
      <w:divBdr>
        <w:top w:val="none" w:sz="0" w:space="0" w:color="auto"/>
        <w:left w:val="none" w:sz="0" w:space="0" w:color="auto"/>
        <w:bottom w:val="none" w:sz="0" w:space="0" w:color="auto"/>
        <w:right w:val="none" w:sz="0" w:space="0" w:color="auto"/>
      </w:divBdr>
    </w:div>
    <w:div w:id="39207960">
      <w:marLeft w:val="0"/>
      <w:marRight w:val="0"/>
      <w:marTop w:val="0"/>
      <w:marBottom w:val="0"/>
      <w:divBdr>
        <w:top w:val="none" w:sz="0" w:space="0" w:color="auto"/>
        <w:left w:val="none" w:sz="0" w:space="0" w:color="auto"/>
        <w:bottom w:val="none" w:sz="0" w:space="0" w:color="auto"/>
        <w:right w:val="none" w:sz="0" w:space="0" w:color="auto"/>
      </w:divBdr>
    </w:div>
    <w:div w:id="39207961">
      <w:marLeft w:val="0"/>
      <w:marRight w:val="0"/>
      <w:marTop w:val="0"/>
      <w:marBottom w:val="0"/>
      <w:divBdr>
        <w:top w:val="none" w:sz="0" w:space="0" w:color="auto"/>
        <w:left w:val="none" w:sz="0" w:space="0" w:color="auto"/>
        <w:bottom w:val="none" w:sz="0" w:space="0" w:color="auto"/>
        <w:right w:val="none" w:sz="0" w:space="0" w:color="auto"/>
      </w:divBdr>
    </w:div>
    <w:div w:id="39207962">
      <w:marLeft w:val="0"/>
      <w:marRight w:val="0"/>
      <w:marTop w:val="0"/>
      <w:marBottom w:val="0"/>
      <w:divBdr>
        <w:top w:val="none" w:sz="0" w:space="0" w:color="auto"/>
        <w:left w:val="none" w:sz="0" w:space="0" w:color="auto"/>
        <w:bottom w:val="none" w:sz="0" w:space="0" w:color="auto"/>
        <w:right w:val="none" w:sz="0" w:space="0" w:color="auto"/>
      </w:divBdr>
    </w:div>
    <w:div w:id="39207963">
      <w:marLeft w:val="0"/>
      <w:marRight w:val="0"/>
      <w:marTop w:val="0"/>
      <w:marBottom w:val="0"/>
      <w:divBdr>
        <w:top w:val="none" w:sz="0" w:space="0" w:color="auto"/>
        <w:left w:val="none" w:sz="0" w:space="0" w:color="auto"/>
        <w:bottom w:val="none" w:sz="0" w:space="0" w:color="auto"/>
        <w:right w:val="none" w:sz="0" w:space="0" w:color="auto"/>
      </w:divBdr>
    </w:div>
    <w:div w:id="39207964">
      <w:marLeft w:val="0"/>
      <w:marRight w:val="0"/>
      <w:marTop w:val="0"/>
      <w:marBottom w:val="0"/>
      <w:divBdr>
        <w:top w:val="none" w:sz="0" w:space="0" w:color="auto"/>
        <w:left w:val="none" w:sz="0" w:space="0" w:color="auto"/>
        <w:bottom w:val="none" w:sz="0" w:space="0" w:color="auto"/>
        <w:right w:val="none" w:sz="0" w:space="0" w:color="auto"/>
      </w:divBdr>
    </w:div>
    <w:div w:id="39207965">
      <w:marLeft w:val="0"/>
      <w:marRight w:val="0"/>
      <w:marTop w:val="0"/>
      <w:marBottom w:val="0"/>
      <w:divBdr>
        <w:top w:val="none" w:sz="0" w:space="0" w:color="auto"/>
        <w:left w:val="none" w:sz="0" w:space="0" w:color="auto"/>
        <w:bottom w:val="none" w:sz="0" w:space="0" w:color="auto"/>
        <w:right w:val="none" w:sz="0" w:space="0" w:color="auto"/>
      </w:divBdr>
    </w:div>
    <w:div w:id="39207966">
      <w:marLeft w:val="0"/>
      <w:marRight w:val="0"/>
      <w:marTop w:val="0"/>
      <w:marBottom w:val="0"/>
      <w:divBdr>
        <w:top w:val="none" w:sz="0" w:space="0" w:color="auto"/>
        <w:left w:val="none" w:sz="0" w:space="0" w:color="auto"/>
        <w:bottom w:val="none" w:sz="0" w:space="0" w:color="auto"/>
        <w:right w:val="none" w:sz="0" w:space="0" w:color="auto"/>
      </w:divBdr>
    </w:div>
    <w:div w:id="39207967">
      <w:marLeft w:val="0"/>
      <w:marRight w:val="0"/>
      <w:marTop w:val="0"/>
      <w:marBottom w:val="0"/>
      <w:divBdr>
        <w:top w:val="none" w:sz="0" w:space="0" w:color="auto"/>
        <w:left w:val="none" w:sz="0" w:space="0" w:color="auto"/>
        <w:bottom w:val="none" w:sz="0" w:space="0" w:color="auto"/>
        <w:right w:val="none" w:sz="0" w:space="0" w:color="auto"/>
      </w:divBdr>
    </w:div>
    <w:div w:id="39207968">
      <w:marLeft w:val="0"/>
      <w:marRight w:val="0"/>
      <w:marTop w:val="0"/>
      <w:marBottom w:val="0"/>
      <w:divBdr>
        <w:top w:val="none" w:sz="0" w:space="0" w:color="auto"/>
        <w:left w:val="none" w:sz="0" w:space="0" w:color="auto"/>
        <w:bottom w:val="none" w:sz="0" w:space="0" w:color="auto"/>
        <w:right w:val="none" w:sz="0" w:space="0" w:color="auto"/>
      </w:divBdr>
    </w:div>
    <w:div w:id="39207969">
      <w:marLeft w:val="0"/>
      <w:marRight w:val="0"/>
      <w:marTop w:val="0"/>
      <w:marBottom w:val="0"/>
      <w:divBdr>
        <w:top w:val="none" w:sz="0" w:space="0" w:color="auto"/>
        <w:left w:val="none" w:sz="0" w:space="0" w:color="auto"/>
        <w:bottom w:val="none" w:sz="0" w:space="0" w:color="auto"/>
        <w:right w:val="none" w:sz="0" w:space="0" w:color="auto"/>
      </w:divBdr>
    </w:div>
    <w:div w:id="39207970">
      <w:marLeft w:val="0"/>
      <w:marRight w:val="0"/>
      <w:marTop w:val="0"/>
      <w:marBottom w:val="0"/>
      <w:divBdr>
        <w:top w:val="none" w:sz="0" w:space="0" w:color="auto"/>
        <w:left w:val="none" w:sz="0" w:space="0" w:color="auto"/>
        <w:bottom w:val="none" w:sz="0" w:space="0" w:color="auto"/>
        <w:right w:val="none" w:sz="0" w:space="0" w:color="auto"/>
      </w:divBdr>
    </w:div>
    <w:div w:id="39207971">
      <w:marLeft w:val="0"/>
      <w:marRight w:val="0"/>
      <w:marTop w:val="0"/>
      <w:marBottom w:val="0"/>
      <w:divBdr>
        <w:top w:val="none" w:sz="0" w:space="0" w:color="auto"/>
        <w:left w:val="none" w:sz="0" w:space="0" w:color="auto"/>
        <w:bottom w:val="none" w:sz="0" w:space="0" w:color="auto"/>
        <w:right w:val="none" w:sz="0" w:space="0" w:color="auto"/>
      </w:divBdr>
    </w:div>
    <w:div w:id="39207972">
      <w:marLeft w:val="0"/>
      <w:marRight w:val="0"/>
      <w:marTop w:val="0"/>
      <w:marBottom w:val="0"/>
      <w:divBdr>
        <w:top w:val="none" w:sz="0" w:space="0" w:color="auto"/>
        <w:left w:val="none" w:sz="0" w:space="0" w:color="auto"/>
        <w:bottom w:val="none" w:sz="0" w:space="0" w:color="auto"/>
        <w:right w:val="none" w:sz="0" w:space="0" w:color="auto"/>
      </w:divBdr>
    </w:div>
    <w:div w:id="39207973">
      <w:marLeft w:val="0"/>
      <w:marRight w:val="0"/>
      <w:marTop w:val="0"/>
      <w:marBottom w:val="0"/>
      <w:divBdr>
        <w:top w:val="none" w:sz="0" w:space="0" w:color="auto"/>
        <w:left w:val="none" w:sz="0" w:space="0" w:color="auto"/>
        <w:bottom w:val="none" w:sz="0" w:space="0" w:color="auto"/>
        <w:right w:val="none" w:sz="0" w:space="0" w:color="auto"/>
      </w:divBdr>
    </w:div>
    <w:div w:id="39207974">
      <w:marLeft w:val="0"/>
      <w:marRight w:val="0"/>
      <w:marTop w:val="0"/>
      <w:marBottom w:val="0"/>
      <w:divBdr>
        <w:top w:val="none" w:sz="0" w:space="0" w:color="auto"/>
        <w:left w:val="none" w:sz="0" w:space="0" w:color="auto"/>
        <w:bottom w:val="none" w:sz="0" w:space="0" w:color="auto"/>
        <w:right w:val="none" w:sz="0" w:space="0" w:color="auto"/>
      </w:divBdr>
    </w:div>
    <w:div w:id="39207975">
      <w:marLeft w:val="0"/>
      <w:marRight w:val="0"/>
      <w:marTop w:val="0"/>
      <w:marBottom w:val="0"/>
      <w:divBdr>
        <w:top w:val="none" w:sz="0" w:space="0" w:color="auto"/>
        <w:left w:val="none" w:sz="0" w:space="0" w:color="auto"/>
        <w:bottom w:val="none" w:sz="0" w:space="0" w:color="auto"/>
        <w:right w:val="none" w:sz="0" w:space="0" w:color="auto"/>
      </w:divBdr>
    </w:div>
    <w:div w:id="39207976">
      <w:marLeft w:val="0"/>
      <w:marRight w:val="0"/>
      <w:marTop w:val="0"/>
      <w:marBottom w:val="0"/>
      <w:divBdr>
        <w:top w:val="none" w:sz="0" w:space="0" w:color="auto"/>
        <w:left w:val="none" w:sz="0" w:space="0" w:color="auto"/>
        <w:bottom w:val="none" w:sz="0" w:space="0" w:color="auto"/>
        <w:right w:val="none" w:sz="0" w:space="0" w:color="auto"/>
      </w:divBdr>
    </w:div>
    <w:div w:id="39207977">
      <w:marLeft w:val="0"/>
      <w:marRight w:val="0"/>
      <w:marTop w:val="0"/>
      <w:marBottom w:val="0"/>
      <w:divBdr>
        <w:top w:val="none" w:sz="0" w:space="0" w:color="auto"/>
        <w:left w:val="none" w:sz="0" w:space="0" w:color="auto"/>
        <w:bottom w:val="none" w:sz="0" w:space="0" w:color="auto"/>
        <w:right w:val="none" w:sz="0" w:space="0" w:color="auto"/>
      </w:divBdr>
    </w:div>
    <w:div w:id="39207978">
      <w:marLeft w:val="0"/>
      <w:marRight w:val="0"/>
      <w:marTop w:val="0"/>
      <w:marBottom w:val="0"/>
      <w:divBdr>
        <w:top w:val="none" w:sz="0" w:space="0" w:color="auto"/>
        <w:left w:val="none" w:sz="0" w:space="0" w:color="auto"/>
        <w:bottom w:val="none" w:sz="0" w:space="0" w:color="auto"/>
        <w:right w:val="none" w:sz="0" w:space="0" w:color="auto"/>
      </w:divBdr>
    </w:div>
    <w:div w:id="39207979">
      <w:marLeft w:val="0"/>
      <w:marRight w:val="0"/>
      <w:marTop w:val="0"/>
      <w:marBottom w:val="0"/>
      <w:divBdr>
        <w:top w:val="none" w:sz="0" w:space="0" w:color="auto"/>
        <w:left w:val="none" w:sz="0" w:space="0" w:color="auto"/>
        <w:bottom w:val="none" w:sz="0" w:space="0" w:color="auto"/>
        <w:right w:val="none" w:sz="0" w:space="0" w:color="auto"/>
      </w:divBdr>
    </w:div>
    <w:div w:id="39207980">
      <w:marLeft w:val="0"/>
      <w:marRight w:val="0"/>
      <w:marTop w:val="0"/>
      <w:marBottom w:val="0"/>
      <w:divBdr>
        <w:top w:val="none" w:sz="0" w:space="0" w:color="auto"/>
        <w:left w:val="none" w:sz="0" w:space="0" w:color="auto"/>
        <w:bottom w:val="none" w:sz="0" w:space="0" w:color="auto"/>
        <w:right w:val="none" w:sz="0" w:space="0" w:color="auto"/>
      </w:divBdr>
    </w:div>
    <w:div w:id="39207981">
      <w:marLeft w:val="0"/>
      <w:marRight w:val="0"/>
      <w:marTop w:val="0"/>
      <w:marBottom w:val="0"/>
      <w:divBdr>
        <w:top w:val="none" w:sz="0" w:space="0" w:color="auto"/>
        <w:left w:val="none" w:sz="0" w:space="0" w:color="auto"/>
        <w:bottom w:val="none" w:sz="0" w:space="0" w:color="auto"/>
        <w:right w:val="none" w:sz="0" w:space="0" w:color="auto"/>
      </w:divBdr>
    </w:div>
    <w:div w:id="39207982">
      <w:marLeft w:val="0"/>
      <w:marRight w:val="0"/>
      <w:marTop w:val="0"/>
      <w:marBottom w:val="0"/>
      <w:divBdr>
        <w:top w:val="none" w:sz="0" w:space="0" w:color="auto"/>
        <w:left w:val="none" w:sz="0" w:space="0" w:color="auto"/>
        <w:bottom w:val="none" w:sz="0" w:space="0" w:color="auto"/>
        <w:right w:val="none" w:sz="0" w:space="0" w:color="auto"/>
      </w:divBdr>
    </w:div>
    <w:div w:id="39207983">
      <w:marLeft w:val="0"/>
      <w:marRight w:val="0"/>
      <w:marTop w:val="0"/>
      <w:marBottom w:val="0"/>
      <w:divBdr>
        <w:top w:val="none" w:sz="0" w:space="0" w:color="auto"/>
        <w:left w:val="none" w:sz="0" w:space="0" w:color="auto"/>
        <w:bottom w:val="none" w:sz="0" w:space="0" w:color="auto"/>
        <w:right w:val="none" w:sz="0" w:space="0" w:color="auto"/>
      </w:divBdr>
    </w:div>
    <w:div w:id="39207984">
      <w:marLeft w:val="0"/>
      <w:marRight w:val="0"/>
      <w:marTop w:val="0"/>
      <w:marBottom w:val="0"/>
      <w:divBdr>
        <w:top w:val="none" w:sz="0" w:space="0" w:color="auto"/>
        <w:left w:val="none" w:sz="0" w:space="0" w:color="auto"/>
        <w:bottom w:val="none" w:sz="0" w:space="0" w:color="auto"/>
        <w:right w:val="none" w:sz="0" w:space="0" w:color="auto"/>
      </w:divBdr>
    </w:div>
    <w:div w:id="39207985">
      <w:marLeft w:val="0"/>
      <w:marRight w:val="0"/>
      <w:marTop w:val="0"/>
      <w:marBottom w:val="0"/>
      <w:divBdr>
        <w:top w:val="none" w:sz="0" w:space="0" w:color="auto"/>
        <w:left w:val="none" w:sz="0" w:space="0" w:color="auto"/>
        <w:bottom w:val="none" w:sz="0" w:space="0" w:color="auto"/>
        <w:right w:val="none" w:sz="0" w:space="0" w:color="auto"/>
      </w:divBdr>
    </w:div>
    <w:div w:id="39207986">
      <w:marLeft w:val="0"/>
      <w:marRight w:val="0"/>
      <w:marTop w:val="0"/>
      <w:marBottom w:val="0"/>
      <w:divBdr>
        <w:top w:val="none" w:sz="0" w:space="0" w:color="auto"/>
        <w:left w:val="none" w:sz="0" w:space="0" w:color="auto"/>
        <w:bottom w:val="none" w:sz="0" w:space="0" w:color="auto"/>
        <w:right w:val="none" w:sz="0" w:space="0" w:color="auto"/>
      </w:divBdr>
    </w:div>
    <w:div w:id="39207987">
      <w:marLeft w:val="0"/>
      <w:marRight w:val="0"/>
      <w:marTop w:val="0"/>
      <w:marBottom w:val="0"/>
      <w:divBdr>
        <w:top w:val="none" w:sz="0" w:space="0" w:color="auto"/>
        <w:left w:val="none" w:sz="0" w:space="0" w:color="auto"/>
        <w:bottom w:val="none" w:sz="0" w:space="0" w:color="auto"/>
        <w:right w:val="none" w:sz="0" w:space="0" w:color="auto"/>
      </w:divBdr>
    </w:div>
    <w:div w:id="39207988">
      <w:marLeft w:val="0"/>
      <w:marRight w:val="0"/>
      <w:marTop w:val="0"/>
      <w:marBottom w:val="0"/>
      <w:divBdr>
        <w:top w:val="none" w:sz="0" w:space="0" w:color="auto"/>
        <w:left w:val="none" w:sz="0" w:space="0" w:color="auto"/>
        <w:bottom w:val="none" w:sz="0" w:space="0" w:color="auto"/>
        <w:right w:val="none" w:sz="0" w:space="0" w:color="auto"/>
      </w:divBdr>
    </w:div>
    <w:div w:id="39207989">
      <w:marLeft w:val="0"/>
      <w:marRight w:val="0"/>
      <w:marTop w:val="0"/>
      <w:marBottom w:val="0"/>
      <w:divBdr>
        <w:top w:val="none" w:sz="0" w:space="0" w:color="auto"/>
        <w:left w:val="none" w:sz="0" w:space="0" w:color="auto"/>
        <w:bottom w:val="none" w:sz="0" w:space="0" w:color="auto"/>
        <w:right w:val="none" w:sz="0" w:space="0" w:color="auto"/>
      </w:divBdr>
    </w:div>
    <w:div w:id="39207990">
      <w:marLeft w:val="0"/>
      <w:marRight w:val="0"/>
      <w:marTop w:val="0"/>
      <w:marBottom w:val="0"/>
      <w:divBdr>
        <w:top w:val="none" w:sz="0" w:space="0" w:color="auto"/>
        <w:left w:val="none" w:sz="0" w:space="0" w:color="auto"/>
        <w:bottom w:val="none" w:sz="0" w:space="0" w:color="auto"/>
        <w:right w:val="none" w:sz="0" w:space="0" w:color="auto"/>
      </w:divBdr>
    </w:div>
    <w:div w:id="39207991">
      <w:marLeft w:val="0"/>
      <w:marRight w:val="0"/>
      <w:marTop w:val="0"/>
      <w:marBottom w:val="0"/>
      <w:divBdr>
        <w:top w:val="none" w:sz="0" w:space="0" w:color="auto"/>
        <w:left w:val="none" w:sz="0" w:space="0" w:color="auto"/>
        <w:bottom w:val="none" w:sz="0" w:space="0" w:color="auto"/>
        <w:right w:val="none" w:sz="0" w:space="0" w:color="auto"/>
      </w:divBdr>
    </w:div>
    <w:div w:id="39207992">
      <w:marLeft w:val="0"/>
      <w:marRight w:val="0"/>
      <w:marTop w:val="0"/>
      <w:marBottom w:val="0"/>
      <w:divBdr>
        <w:top w:val="none" w:sz="0" w:space="0" w:color="auto"/>
        <w:left w:val="none" w:sz="0" w:space="0" w:color="auto"/>
        <w:bottom w:val="none" w:sz="0" w:space="0" w:color="auto"/>
        <w:right w:val="none" w:sz="0" w:space="0" w:color="auto"/>
      </w:divBdr>
    </w:div>
    <w:div w:id="39207993">
      <w:marLeft w:val="0"/>
      <w:marRight w:val="0"/>
      <w:marTop w:val="0"/>
      <w:marBottom w:val="0"/>
      <w:divBdr>
        <w:top w:val="none" w:sz="0" w:space="0" w:color="auto"/>
        <w:left w:val="none" w:sz="0" w:space="0" w:color="auto"/>
        <w:bottom w:val="none" w:sz="0" w:space="0" w:color="auto"/>
        <w:right w:val="none" w:sz="0" w:space="0" w:color="auto"/>
      </w:divBdr>
    </w:div>
    <w:div w:id="39207994">
      <w:marLeft w:val="0"/>
      <w:marRight w:val="0"/>
      <w:marTop w:val="0"/>
      <w:marBottom w:val="0"/>
      <w:divBdr>
        <w:top w:val="none" w:sz="0" w:space="0" w:color="auto"/>
        <w:left w:val="none" w:sz="0" w:space="0" w:color="auto"/>
        <w:bottom w:val="none" w:sz="0" w:space="0" w:color="auto"/>
        <w:right w:val="none" w:sz="0" w:space="0" w:color="auto"/>
      </w:divBdr>
    </w:div>
    <w:div w:id="39207995">
      <w:marLeft w:val="0"/>
      <w:marRight w:val="0"/>
      <w:marTop w:val="0"/>
      <w:marBottom w:val="0"/>
      <w:divBdr>
        <w:top w:val="none" w:sz="0" w:space="0" w:color="auto"/>
        <w:left w:val="none" w:sz="0" w:space="0" w:color="auto"/>
        <w:bottom w:val="none" w:sz="0" w:space="0" w:color="auto"/>
        <w:right w:val="none" w:sz="0" w:space="0" w:color="auto"/>
      </w:divBdr>
    </w:div>
    <w:div w:id="39207996">
      <w:marLeft w:val="0"/>
      <w:marRight w:val="0"/>
      <w:marTop w:val="0"/>
      <w:marBottom w:val="0"/>
      <w:divBdr>
        <w:top w:val="none" w:sz="0" w:space="0" w:color="auto"/>
        <w:left w:val="none" w:sz="0" w:space="0" w:color="auto"/>
        <w:bottom w:val="none" w:sz="0" w:space="0" w:color="auto"/>
        <w:right w:val="none" w:sz="0" w:space="0" w:color="auto"/>
      </w:divBdr>
    </w:div>
    <w:div w:id="39207997">
      <w:marLeft w:val="0"/>
      <w:marRight w:val="0"/>
      <w:marTop w:val="0"/>
      <w:marBottom w:val="0"/>
      <w:divBdr>
        <w:top w:val="none" w:sz="0" w:space="0" w:color="auto"/>
        <w:left w:val="none" w:sz="0" w:space="0" w:color="auto"/>
        <w:bottom w:val="none" w:sz="0" w:space="0" w:color="auto"/>
        <w:right w:val="none" w:sz="0" w:space="0" w:color="auto"/>
      </w:divBdr>
    </w:div>
    <w:div w:id="39207998">
      <w:marLeft w:val="0"/>
      <w:marRight w:val="0"/>
      <w:marTop w:val="0"/>
      <w:marBottom w:val="0"/>
      <w:divBdr>
        <w:top w:val="none" w:sz="0" w:space="0" w:color="auto"/>
        <w:left w:val="none" w:sz="0" w:space="0" w:color="auto"/>
        <w:bottom w:val="none" w:sz="0" w:space="0" w:color="auto"/>
        <w:right w:val="none" w:sz="0" w:space="0" w:color="auto"/>
      </w:divBdr>
    </w:div>
    <w:div w:id="39207999">
      <w:marLeft w:val="0"/>
      <w:marRight w:val="0"/>
      <w:marTop w:val="0"/>
      <w:marBottom w:val="0"/>
      <w:divBdr>
        <w:top w:val="none" w:sz="0" w:space="0" w:color="auto"/>
        <w:left w:val="none" w:sz="0" w:space="0" w:color="auto"/>
        <w:bottom w:val="none" w:sz="0" w:space="0" w:color="auto"/>
        <w:right w:val="none" w:sz="0" w:space="0" w:color="auto"/>
      </w:divBdr>
    </w:div>
    <w:div w:id="39208000">
      <w:marLeft w:val="0"/>
      <w:marRight w:val="0"/>
      <w:marTop w:val="0"/>
      <w:marBottom w:val="0"/>
      <w:divBdr>
        <w:top w:val="none" w:sz="0" w:space="0" w:color="auto"/>
        <w:left w:val="none" w:sz="0" w:space="0" w:color="auto"/>
        <w:bottom w:val="none" w:sz="0" w:space="0" w:color="auto"/>
        <w:right w:val="none" w:sz="0" w:space="0" w:color="auto"/>
      </w:divBdr>
    </w:div>
    <w:div w:id="39208001">
      <w:marLeft w:val="0"/>
      <w:marRight w:val="0"/>
      <w:marTop w:val="0"/>
      <w:marBottom w:val="0"/>
      <w:divBdr>
        <w:top w:val="none" w:sz="0" w:space="0" w:color="auto"/>
        <w:left w:val="none" w:sz="0" w:space="0" w:color="auto"/>
        <w:bottom w:val="none" w:sz="0" w:space="0" w:color="auto"/>
        <w:right w:val="none" w:sz="0" w:space="0" w:color="auto"/>
      </w:divBdr>
    </w:div>
    <w:div w:id="39208002">
      <w:marLeft w:val="0"/>
      <w:marRight w:val="0"/>
      <w:marTop w:val="0"/>
      <w:marBottom w:val="0"/>
      <w:divBdr>
        <w:top w:val="none" w:sz="0" w:space="0" w:color="auto"/>
        <w:left w:val="none" w:sz="0" w:space="0" w:color="auto"/>
        <w:bottom w:val="none" w:sz="0" w:space="0" w:color="auto"/>
        <w:right w:val="none" w:sz="0" w:space="0" w:color="auto"/>
      </w:divBdr>
    </w:div>
    <w:div w:id="39208003">
      <w:marLeft w:val="0"/>
      <w:marRight w:val="0"/>
      <w:marTop w:val="0"/>
      <w:marBottom w:val="0"/>
      <w:divBdr>
        <w:top w:val="none" w:sz="0" w:space="0" w:color="auto"/>
        <w:left w:val="none" w:sz="0" w:space="0" w:color="auto"/>
        <w:bottom w:val="none" w:sz="0" w:space="0" w:color="auto"/>
        <w:right w:val="none" w:sz="0" w:space="0" w:color="auto"/>
      </w:divBdr>
    </w:div>
    <w:div w:id="39208004">
      <w:marLeft w:val="0"/>
      <w:marRight w:val="0"/>
      <w:marTop w:val="0"/>
      <w:marBottom w:val="0"/>
      <w:divBdr>
        <w:top w:val="none" w:sz="0" w:space="0" w:color="auto"/>
        <w:left w:val="none" w:sz="0" w:space="0" w:color="auto"/>
        <w:bottom w:val="none" w:sz="0" w:space="0" w:color="auto"/>
        <w:right w:val="none" w:sz="0" w:space="0" w:color="auto"/>
      </w:divBdr>
    </w:div>
    <w:div w:id="39208005">
      <w:marLeft w:val="0"/>
      <w:marRight w:val="0"/>
      <w:marTop w:val="0"/>
      <w:marBottom w:val="0"/>
      <w:divBdr>
        <w:top w:val="none" w:sz="0" w:space="0" w:color="auto"/>
        <w:left w:val="none" w:sz="0" w:space="0" w:color="auto"/>
        <w:bottom w:val="none" w:sz="0" w:space="0" w:color="auto"/>
        <w:right w:val="none" w:sz="0" w:space="0" w:color="auto"/>
      </w:divBdr>
    </w:div>
    <w:div w:id="39208006">
      <w:marLeft w:val="0"/>
      <w:marRight w:val="0"/>
      <w:marTop w:val="0"/>
      <w:marBottom w:val="0"/>
      <w:divBdr>
        <w:top w:val="none" w:sz="0" w:space="0" w:color="auto"/>
        <w:left w:val="none" w:sz="0" w:space="0" w:color="auto"/>
        <w:bottom w:val="none" w:sz="0" w:space="0" w:color="auto"/>
        <w:right w:val="none" w:sz="0" w:space="0" w:color="auto"/>
      </w:divBdr>
    </w:div>
    <w:div w:id="39208007">
      <w:marLeft w:val="0"/>
      <w:marRight w:val="0"/>
      <w:marTop w:val="0"/>
      <w:marBottom w:val="0"/>
      <w:divBdr>
        <w:top w:val="none" w:sz="0" w:space="0" w:color="auto"/>
        <w:left w:val="none" w:sz="0" w:space="0" w:color="auto"/>
        <w:bottom w:val="none" w:sz="0" w:space="0" w:color="auto"/>
        <w:right w:val="none" w:sz="0" w:space="0" w:color="auto"/>
      </w:divBdr>
    </w:div>
    <w:div w:id="39208008">
      <w:marLeft w:val="0"/>
      <w:marRight w:val="0"/>
      <w:marTop w:val="0"/>
      <w:marBottom w:val="0"/>
      <w:divBdr>
        <w:top w:val="none" w:sz="0" w:space="0" w:color="auto"/>
        <w:left w:val="none" w:sz="0" w:space="0" w:color="auto"/>
        <w:bottom w:val="none" w:sz="0" w:space="0" w:color="auto"/>
        <w:right w:val="none" w:sz="0" w:space="0" w:color="auto"/>
      </w:divBdr>
    </w:div>
    <w:div w:id="39208009">
      <w:marLeft w:val="0"/>
      <w:marRight w:val="0"/>
      <w:marTop w:val="0"/>
      <w:marBottom w:val="0"/>
      <w:divBdr>
        <w:top w:val="none" w:sz="0" w:space="0" w:color="auto"/>
        <w:left w:val="none" w:sz="0" w:space="0" w:color="auto"/>
        <w:bottom w:val="none" w:sz="0" w:space="0" w:color="auto"/>
        <w:right w:val="none" w:sz="0" w:space="0" w:color="auto"/>
      </w:divBdr>
    </w:div>
    <w:div w:id="39208010">
      <w:marLeft w:val="0"/>
      <w:marRight w:val="0"/>
      <w:marTop w:val="0"/>
      <w:marBottom w:val="0"/>
      <w:divBdr>
        <w:top w:val="none" w:sz="0" w:space="0" w:color="auto"/>
        <w:left w:val="none" w:sz="0" w:space="0" w:color="auto"/>
        <w:bottom w:val="none" w:sz="0" w:space="0" w:color="auto"/>
        <w:right w:val="none" w:sz="0" w:space="0" w:color="auto"/>
      </w:divBdr>
    </w:div>
    <w:div w:id="39208011">
      <w:marLeft w:val="0"/>
      <w:marRight w:val="0"/>
      <w:marTop w:val="0"/>
      <w:marBottom w:val="0"/>
      <w:divBdr>
        <w:top w:val="none" w:sz="0" w:space="0" w:color="auto"/>
        <w:left w:val="none" w:sz="0" w:space="0" w:color="auto"/>
        <w:bottom w:val="none" w:sz="0" w:space="0" w:color="auto"/>
        <w:right w:val="none" w:sz="0" w:space="0" w:color="auto"/>
      </w:divBdr>
    </w:div>
    <w:div w:id="39208012">
      <w:marLeft w:val="0"/>
      <w:marRight w:val="0"/>
      <w:marTop w:val="0"/>
      <w:marBottom w:val="0"/>
      <w:divBdr>
        <w:top w:val="none" w:sz="0" w:space="0" w:color="auto"/>
        <w:left w:val="none" w:sz="0" w:space="0" w:color="auto"/>
        <w:bottom w:val="none" w:sz="0" w:space="0" w:color="auto"/>
        <w:right w:val="none" w:sz="0" w:space="0" w:color="auto"/>
      </w:divBdr>
    </w:div>
    <w:div w:id="39208013">
      <w:marLeft w:val="0"/>
      <w:marRight w:val="0"/>
      <w:marTop w:val="0"/>
      <w:marBottom w:val="0"/>
      <w:divBdr>
        <w:top w:val="none" w:sz="0" w:space="0" w:color="auto"/>
        <w:left w:val="none" w:sz="0" w:space="0" w:color="auto"/>
        <w:bottom w:val="none" w:sz="0" w:space="0" w:color="auto"/>
        <w:right w:val="none" w:sz="0" w:space="0" w:color="auto"/>
      </w:divBdr>
    </w:div>
    <w:div w:id="39208014">
      <w:marLeft w:val="0"/>
      <w:marRight w:val="0"/>
      <w:marTop w:val="0"/>
      <w:marBottom w:val="0"/>
      <w:divBdr>
        <w:top w:val="none" w:sz="0" w:space="0" w:color="auto"/>
        <w:left w:val="none" w:sz="0" w:space="0" w:color="auto"/>
        <w:bottom w:val="none" w:sz="0" w:space="0" w:color="auto"/>
        <w:right w:val="none" w:sz="0" w:space="0" w:color="auto"/>
      </w:divBdr>
    </w:div>
    <w:div w:id="39208015">
      <w:marLeft w:val="0"/>
      <w:marRight w:val="0"/>
      <w:marTop w:val="0"/>
      <w:marBottom w:val="0"/>
      <w:divBdr>
        <w:top w:val="none" w:sz="0" w:space="0" w:color="auto"/>
        <w:left w:val="none" w:sz="0" w:space="0" w:color="auto"/>
        <w:bottom w:val="none" w:sz="0" w:space="0" w:color="auto"/>
        <w:right w:val="none" w:sz="0" w:space="0" w:color="auto"/>
      </w:divBdr>
    </w:div>
    <w:div w:id="39208016">
      <w:marLeft w:val="0"/>
      <w:marRight w:val="0"/>
      <w:marTop w:val="0"/>
      <w:marBottom w:val="0"/>
      <w:divBdr>
        <w:top w:val="none" w:sz="0" w:space="0" w:color="auto"/>
        <w:left w:val="none" w:sz="0" w:space="0" w:color="auto"/>
        <w:bottom w:val="none" w:sz="0" w:space="0" w:color="auto"/>
        <w:right w:val="none" w:sz="0" w:space="0" w:color="auto"/>
      </w:divBdr>
    </w:div>
    <w:div w:id="39208017">
      <w:marLeft w:val="0"/>
      <w:marRight w:val="0"/>
      <w:marTop w:val="0"/>
      <w:marBottom w:val="0"/>
      <w:divBdr>
        <w:top w:val="none" w:sz="0" w:space="0" w:color="auto"/>
        <w:left w:val="none" w:sz="0" w:space="0" w:color="auto"/>
        <w:bottom w:val="none" w:sz="0" w:space="0" w:color="auto"/>
        <w:right w:val="none" w:sz="0" w:space="0" w:color="auto"/>
      </w:divBdr>
    </w:div>
    <w:div w:id="39208018">
      <w:marLeft w:val="0"/>
      <w:marRight w:val="0"/>
      <w:marTop w:val="0"/>
      <w:marBottom w:val="0"/>
      <w:divBdr>
        <w:top w:val="none" w:sz="0" w:space="0" w:color="auto"/>
        <w:left w:val="none" w:sz="0" w:space="0" w:color="auto"/>
        <w:bottom w:val="none" w:sz="0" w:space="0" w:color="auto"/>
        <w:right w:val="none" w:sz="0" w:space="0" w:color="auto"/>
      </w:divBdr>
    </w:div>
    <w:div w:id="39208019">
      <w:marLeft w:val="0"/>
      <w:marRight w:val="0"/>
      <w:marTop w:val="0"/>
      <w:marBottom w:val="0"/>
      <w:divBdr>
        <w:top w:val="none" w:sz="0" w:space="0" w:color="auto"/>
        <w:left w:val="none" w:sz="0" w:space="0" w:color="auto"/>
        <w:bottom w:val="none" w:sz="0" w:space="0" w:color="auto"/>
        <w:right w:val="none" w:sz="0" w:space="0" w:color="auto"/>
      </w:divBdr>
    </w:div>
    <w:div w:id="39208020">
      <w:marLeft w:val="0"/>
      <w:marRight w:val="0"/>
      <w:marTop w:val="0"/>
      <w:marBottom w:val="0"/>
      <w:divBdr>
        <w:top w:val="none" w:sz="0" w:space="0" w:color="auto"/>
        <w:left w:val="none" w:sz="0" w:space="0" w:color="auto"/>
        <w:bottom w:val="none" w:sz="0" w:space="0" w:color="auto"/>
        <w:right w:val="none" w:sz="0" w:space="0" w:color="auto"/>
      </w:divBdr>
    </w:div>
    <w:div w:id="39208021">
      <w:marLeft w:val="0"/>
      <w:marRight w:val="0"/>
      <w:marTop w:val="0"/>
      <w:marBottom w:val="0"/>
      <w:divBdr>
        <w:top w:val="none" w:sz="0" w:space="0" w:color="auto"/>
        <w:left w:val="none" w:sz="0" w:space="0" w:color="auto"/>
        <w:bottom w:val="none" w:sz="0" w:space="0" w:color="auto"/>
        <w:right w:val="none" w:sz="0" w:space="0" w:color="auto"/>
      </w:divBdr>
    </w:div>
    <w:div w:id="39208022">
      <w:marLeft w:val="0"/>
      <w:marRight w:val="0"/>
      <w:marTop w:val="0"/>
      <w:marBottom w:val="0"/>
      <w:divBdr>
        <w:top w:val="none" w:sz="0" w:space="0" w:color="auto"/>
        <w:left w:val="none" w:sz="0" w:space="0" w:color="auto"/>
        <w:bottom w:val="none" w:sz="0" w:space="0" w:color="auto"/>
        <w:right w:val="none" w:sz="0" w:space="0" w:color="auto"/>
      </w:divBdr>
    </w:div>
    <w:div w:id="39208023">
      <w:marLeft w:val="0"/>
      <w:marRight w:val="0"/>
      <w:marTop w:val="0"/>
      <w:marBottom w:val="0"/>
      <w:divBdr>
        <w:top w:val="none" w:sz="0" w:space="0" w:color="auto"/>
        <w:left w:val="none" w:sz="0" w:space="0" w:color="auto"/>
        <w:bottom w:val="none" w:sz="0" w:space="0" w:color="auto"/>
        <w:right w:val="none" w:sz="0" w:space="0" w:color="auto"/>
      </w:divBdr>
    </w:div>
    <w:div w:id="39208024">
      <w:marLeft w:val="0"/>
      <w:marRight w:val="0"/>
      <w:marTop w:val="0"/>
      <w:marBottom w:val="0"/>
      <w:divBdr>
        <w:top w:val="none" w:sz="0" w:space="0" w:color="auto"/>
        <w:left w:val="none" w:sz="0" w:space="0" w:color="auto"/>
        <w:bottom w:val="none" w:sz="0" w:space="0" w:color="auto"/>
        <w:right w:val="none" w:sz="0" w:space="0" w:color="auto"/>
      </w:divBdr>
    </w:div>
    <w:div w:id="39208025">
      <w:marLeft w:val="0"/>
      <w:marRight w:val="0"/>
      <w:marTop w:val="0"/>
      <w:marBottom w:val="0"/>
      <w:divBdr>
        <w:top w:val="none" w:sz="0" w:space="0" w:color="auto"/>
        <w:left w:val="none" w:sz="0" w:space="0" w:color="auto"/>
        <w:bottom w:val="none" w:sz="0" w:space="0" w:color="auto"/>
        <w:right w:val="none" w:sz="0" w:space="0" w:color="auto"/>
      </w:divBdr>
    </w:div>
    <w:div w:id="39208026">
      <w:marLeft w:val="0"/>
      <w:marRight w:val="0"/>
      <w:marTop w:val="0"/>
      <w:marBottom w:val="0"/>
      <w:divBdr>
        <w:top w:val="none" w:sz="0" w:space="0" w:color="auto"/>
        <w:left w:val="none" w:sz="0" w:space="0" w:color="auto"/>
        <w:bottom w:val="none" w:sz="0" w:space="0" w:color="auto"/>
        <w:right w:val="none" w:sz="0" w:space="0" w:color="auto"/>
      </w:divBdr>
    </w:div>
    <w:div w:id="39208027">
      <w:marLeft w:val="0"/>
      <w:marRight w:val="0"/>
      <w:marTop w:val="0"/>
      <w:marBottom w:val="0"/>
      <w:divBdr>
        <w:top w:val="none" w:sz="0" w:space="0" w:color="auto"/>
        <w:left w:val="none" w:sz="0" w:space="0" w:color="auto"/>
        <w:bottom w:val="none" w:sz="0" w:space="0" w:color="auto"/>
        <w:right w:val="none" w:sz="0" w:space="0" w:color="auto"/>
      </w:divBdr>
    </w:div>
    <w:div w:id="39208028">
      <w:marLeft w:val="0"/>
      <w:marRight w:val="0"/>
      <w:marTop w:val="0"/>
      <w:marBottom w:val="0"/>
      <w:divBdr>
        <w:top w:val="none" w:sz="0" w:space="0" w:color="auto"/>
        <w:left w:val="none" w:sz="0" w:space="0" w:color="auto"/>
        <w:bottom w:val="none" w:sz="0" w:space="0" w:color="auto"/>
        <w:right w:val="none" w:sz="0" w:space="0" w:color="auto"/>
      </w:divBdr>
    </w:div>
    <w:div w:id="39208029">
      <w:marLeft w:val="0"/>
      <w:marRight w:val="0"/>
      <w:marTop w:val="0"/>
      <w:marBottom w:val="0"/>
      <w:divBdr>
        <w:top w:val="none" w:sz="0" w:space="0" w:color="auto"/>
        <w:left w:val="none" w:sz="0" w:space="0" w:color="auto"/>
        <w:bottom w:val="none" w:sz="0" w:space="0" w:color="auto"/>
        <w:right w:val="none" w:sz="0" w:space="0" w:color="auto"/>
      </w:divBdr>
    </w:div>
    <w:div w:id="39208030">
      <w:marLeft w:val="0"/>
      <w:marRight w:val="0"/>
      <w:marTop w:val="0"/>
      <w:marBottom w:val="0"/>
      <w:divBdr>
        <w:top w:val="none" w:sz="0" w:space="0" w:color="auto"/>
        <w:left w:val="none" w:sz="0" w:space="0" w:color="auto"/>
        <w:bottom w:val="none" w:sz="0" w:space="0" w:color="auto"/>
        <w:right w:val="none" w:sz="0" w:space="0" w:color="auto"/>
      </w:divBdr>
    </w:div>
    <w:div w:id="39208031">
      <w:marLeft w:val="0"/>
      <w:marRight w:val="0"/>
      <w:marTop w:val="0"/>
      <w:marBottom w:val="0"/>
      <w:divBdr>
        <w:top w:val="none" w:sz="0" w:space="0" w:color="auto"/>
        <w:left w:val="none" w:sz="0" w:space="0" w:color="auto"/>
        <w:bottom w:val="none" w:sz="0" w:space="0" w:color="auto"/>
        <w:right w:val="none" w:sz="0" w:space="0" w:color="auto"/>
      </w:divBdr>
    </w:div>
    <w:div w:id="39208032">
      <w:marLeft w:val="0"/>
      <w:marRight w:val="0"/>
      <w:marTop w:val="0"/>
      <w:marBottom w:val="0"/>
      <w:divBdr>
        <w:top w:val="none" w:sz="0" w:space="0" w:color="auto"/>
        <w:left w:val="none" w:sz="0" w:space="0" w:color="auto"/>
        <w:bottom w:val="none" w:sz="0" w:space="0" w:color="auto"/>
        <w:right w:val="none" w:sz="0" w:space="0" w:color="auto"/>
      </w:divBdr>
    </w:div>
    <w:div w:id="39208033">
      <w:marLeft w:val="0"/>
      <w:marRight w:val="0"/>
      <w:marTop w:val="0"/>
      <w:marBottom w:val="0"/>
      <w:divBdr>
        <w:top w:val="none" w:sz="0" w:space="0" w:color="auto"/>
        <w:left w:val="none" w:sz="0" w:space="0" w:color="auto"/>
        <w:bottom w:val="none" w:sz="0" w:space="0" w:color="auto"/>
        <w:right w:val="none" w:sz="0" w:space="0" w:color="auto"/>
      </w:divBdr>
    </w:div>
    <w:div w:id="39208034">
      <w:marLeft w:val="0"/>
      <w:marRight w:val="0"/>
      <w:marTop w:val="0"/>
      <w:marBottom w:val="0"/>
      <w:divBdr>
        <w:top w:val="none" w:sz="0" w:space="0" w:color="auto"/>
        <w:left w:val="none" w:sz="0" w:space="0" w:color="auto"/>
        <w:bottom w:val="none" w:sz="0" w:space="0" w:color="auto"/>
        <w:right w:val="none" w:sz="0" w:space="0" w:color="auto"/>
      </w:divBdr>
    </w:div>
    <w:div w:id="39208035">
      <w:marLeft w:val="0"/>
      <w:marRight w:val="0"/>
      <w:marTop w:val="0"/>
      <w:marBottom w:val="0"/>
      <w:divBdr>
        <w:top w:val="none" w:sz="0" w:space="0" w:color="auto"/>
        <w:left w:val="none" w:sz="0" w:space="0" w:color="auto"/>
        <w:bottom w:val="none" w:sz="0" w:space="0" w:color="auto"/>
        <w:right w:val="none" w:sz="0" w:space="0" w:color="auto"/>
      </w:divBdr>
    </w:div>
    <w:div w:id="39208036">
      <w:marLeft w:val="0"/>
      <w:marRight w:val="0"/>
      <w:marTop w:val="0"/>
      <w:marBottom w:val="0"/>
      <w:divBdr>
        <w:top w:val="none" w:sz="0" w:space="0" w:color="auto"/>
        <w:left w:val="none" w:sz="0" w:space="0" w:color="auto"/>
        <w:bottom w:val="none" w:sz="0" w:space="0" w:color="auto"/>
        <w:right w:val="none" w:sz="0" w:space="0" w:color="auto"/>
      </w:divBdr>
    </w:div>
    <w:div w:id="39208037">
      <w:marLeft w:val="0"/>
      <w:marRight w:val="0"/>
      <w:marTop w:val="0"/>
      <w:marBottom w:val="0"/>
      <w:divBdr>
        <w:top w:val="none" w:sz="0" w:space="0" w:color="auto"/>
        <w:left w:val="none" w:sz="0" w:space="0" w:color="auto"/>
        <w:bottom w:val="none" w:sz="0" w:space="0" w:color="auto"/>
        <w:right w:val="none" w:sz="0" w:space="0" w:color="auto"/>
      </w:divBdr>
    </w:div>
    <w:div w:id="39208038">
      <w:marLeft w:val="0"/>
      <w:marRight w:val="0"/>
      <w:marTop w:val="0"/>
      <w:marBottom w:val="0"/>
      <w:divBdr>
        <w:top w:val="none" w:sz="0" w:space="0" w:color="auto"/>
        <w:left w:val="none" w:sz="0" w:space="0" w:color="auto"/>
        <w:bottom w:val="none" w:sz="0" w:space="0" w:color="auto"/>
        <w:right w:val="none" w:sz="0" w:space="0" w:color="auto"/>
      </w:divBdr>
    </w:div>
    <w:div w:id="39208039">
      <w:marLeft w:val="0"/>
      <w:marRight w:val="0"/>
      <w:marTop w:val="0"/>
      <w:marBottom w:val="0"/>
      <w:divBdr>
        <w:top w:val="none" w:sz="0" w:space="0" w:color="auto"/>
        <w:left w:val="none" w:sz="0" w:space="0" w:color="auto"/>
        <w:bottom w:val="none" w:sz="0" w:space="0" w:color="auto"/>
        <w:right w:val="none" w:sz="0" w:space="0" w:color="auto"/>
      </w:divBdr>
    </w:div>
    <w:div w:id="39208040">
      <w:marLeft w:val="0"/>
      <w:marRight w:val="0"/>
      <w:marTop w:val="0"/>
      <w:marBottom w:val="0"/>
      <w:divBdr>
        <w:top w:val="none" w:sz="0" w:space="0" w:color="auto"/>
        <w:left w:val="none" w:sz="0" w:space="0" w:color="auto"/>
        <w:bottom w:val="none" w:sz="0" w:space="0" w:color="auto"/>
        <w:right w:val="none" w:sz="0" w:space="0" w:color="auto"/>
      </w:divBdr>
    </w:div>
    <w:div w:id="39208041">
      <w:marLeft w:val="0"/>
      <w:marRight w:val="0"/>
      <w:marTop w:val="0"/>
      <w:marBottom w:val="0"/>
      <w:divBdr>
        <w:top w:val="none" w:sz="0" w:space="0" w:color="auto"/>
        <w:left w:val="none" w:sz="0" w:space="0" w:color="auto"/>
        <w:bottom w:val="none" w:sz="0" w:space="0" w:color="auto"/>
        <w:right w:val="none" w:sz="0" w:space="0" w:color="auto"/>
      </w:divBdr>
    </w:div>
    <w:div w:id="39208042">
      <w:marLeft w:val="0"/>
      <w:marRight w:val="0"/>
      <w:marTop w:val="0"/>
      <w:marBottom w:val="0"/>
      <w:divBdr>
        <w:top w:val="none" w:sz="0" w:space="0" w:color="auto"/>
        <w:left w:val="none" w:sz="0" w:space="0" w:color="auto"/>
        <w:bottom w:val="none" w:sz="0" w:space="0" w:color="auto"/>
        <w:right w:val="none" w:sz="0" w:space="0" w:color="auto"/>
      </w:divBdr>
    </w:div>
    <w:div w:id="39208043">
      <w:marLeft w:val="0"/>
      <w:marRight w:val="0"/>
      <w:marTop w:val="0"/>
      <w:marBottom w:val="0"/>
      <w:divBdr>
        <w:top w:val="none" w:sz="0" w:space="0" w:color="auto"/>
        <w:left w:val="none" w:sz="0" w:space="0" w:color="auto"/>
        <w:bottom w:val="none" w:sz="0" w:space="0" w:color="auto"/>
        <w:right w:val="none" w:sz="0" w:space="0" w:color="auto"/>
      </w:divBdr>
    </w:div>
    <w:div w:id="39208044">
      <w:marLeft w:val="0"/>
      <w:marRight w:val="0"/>
      <w:marTop w:val="0"/>
      <w:marBottom w:val="0"/>
      <w:divBdr>
        <w:top w:val="none" w:sz="0" w:space="0" w:color="auto"/>
        <w:left w:val="none" w:sz="0" w:space="0" w:color="auto"/>
        <w:bottom w:val="none" w:sz="0" w:space="0" w:color="auto"/>
        <w:right w:val="none" w:sz="0" w:space="0" w:color="auto"/>
      </w:divBdr>
    </w:div>
    <w:div w:id="39208045">
      <w:marLeft w:val="0"/>
      <w:marRight w:val="0"/>
      <w:marTop w:val="0"/>
      <w:marBottom w:val="0"/>
      <w:divBdr>
        <w:top w:val="none" w:sz="0" w:space="0" w:color="auto"/>
        <w:left w:val="none" w:sz="0" w:space="0" w:color="auto"/>
        <w:bottom w:val="none" w:sz="0" w:space="0" w:color="auto"/>
        <w:right w:val="none" w:sz="0" w:space="0" w:color="auto"/>
      </w:divBdr>
    </w:div>
    <w:div w:id="39208046">
      <w:marLeft w:val="0"/>
      <w:marRight w:val="0"/>
      <w:marTop w:val="0"/>
      <w:marBottom w:val="0"/>
      <w:divBdr>
        <w:top w:val="none" w:sz="0" w:space="0" w:color="auto"/>
        <w:left w:val="none" w:sz="0" w:space="0" w:color="auto"/>
        <w:bottom w:val="none" w:sz="0" w:space="0" w:color="auto"/>
        <w:right w:val="none" w:sz="0" w:space="0" w:color="auto"/>
      </w:divBdr>
    </w:div>
    <w:div w:id="39208047">
      <w:marLeft w:val="0"/>
      <w:marRight w:val="0"/>
      <w:marTop w:val="0"/>
      <w:marBottom w:val="0"/>
      <w:divBdr>
        <w:top w:val="none" w:sz="0" w:space="0" w:color="auto"/>
        <w:left w:val="none" w:sz="0" w:space="0" w:color="auto"/>
        <w:bottom w:val="none" w:sz="0" w:space="0" w:color="auto"/>
        <w:right w:val="none" w:sz="0" w:space="0" w:color="auto"/>
      </w:divBdr>
    </w:div>
    <w:div w:id="39208048">
      <w:marLeft w:val="0"/>
      <w:marRight w:val="0"/>
      <w:marTop w:val="0"/>
      <w:marBottom w:val="0"/>
      <w:divBdr>
        <w:top w:val="none" w:sz="0" w:space="0" w:color="auto"/>
        <w:left w:val="none" w:sz="0" w:space="0" w:color="auto"/>
        <w:bottom w:val="none" w:sz="0" w:space="0" w:color="auto"/>
        <w:right w:val="none" w:sz="0" w:space="0" w:color="auto"/>
      </w:divBdr>
    </w:div>
    <w:div w:id="39208049">
      <w:marLeft w:val="0"/>
      <w:marRight w:val="0"/>
      <w:marTop w:val="0"/>
      <w:marBottom w:val="0"/>
      <w:divBdr>
        <w:top w:val="none" w:sz="0" w:space="0" w:color="auto"/>
        <w:left w:val="none" w:sz="0" w:space="0" w:color="auto"/>
        <w:bottom w:val="none" w:sz="0" w:space="0" w:color="auto"/>
        <w:right w:val="none" w:sz="0" w:space="0" w:color="auto"/>
      </w:divBdr>
    </w:div>
    <w:div w:id="39208050">
      <w:marLeft w:val="0"/>
      <w:marRight w:val="0"/>
      <w:marTop w:val="0"/>
      <w:marBottom w:val="0"/>
      <w:divBdr>
        <w:top w:val="none" w:sz="0" w:space="0" w:color="auto"/>
        <w:left w:val="none" w:sz="0" w:space="0" w:color="auto"/>
        <w:bottom w:val="none" w:sz="0" w:space="0" w:color="auto"/>
        <w:right w:val="none" w:sz="0" w:space="0" w:color="auto"/>
      </w:divBdr>
    </w:div>
    <w:div w:id="39208051">
      <w:marLeft w:val="0"/>
      <w:marRight w:val="0"/>
      <w:marTop w:val="0"/>
      <w:marBottom w:val="0"/>
      <w:divBdr>
        <w:top w:val="none" w:sz="0" w:space="0" w:color="auto"/>
        <w:left w:val="none" w:sz="0" w:space="0" w:color="auto"/>
        <w:bottom w:val="none" w:sz="0" w:space="0" w:color="auto"/>
        <w:right w:val="none" w:sz="0" w:space="0" w:color="auto"/>
      </w:divBdr>
    </w:div>
    <w:div w:id="39208052">
      <w:marLeft w:val="0"/>
      <w:marRight w:val="0"/>
      <w:marTop w:val="0"/>
      <w:marBottom w:val="0"/>
      <w:divBdr>
        <w:top w:val="none" w:sz="0" w:space="0" w:color="auto"/>
        <w:left w:val="none" w:sz="0" w:space="0" w:color="auto"/>
        <w:bottom w:val="none" w:sz="0" w:space="0" w:color="auto"/>
        <w:right w:val="none" w:sz="0" w:space="0" w:color="auto"/>
      </w:divBdr>
    </w:div>
    <w:div w:id="39208053">
      <w:marLeft w:val="0"/>
      <w:marRight w:val="0"/>
      <w:marTop w:val="0"/>
      <w:marBottom w:val="0"/>
      <w:divBdr>
        <w:top w:val="none" w:sz="0" w:space="0" w:color="auto"/>
        <w:left w:val="none" w:sz="0" w:space="0" w:color="auto"/>
        <w:bottom w:val="none" w:sz="0" w:space="0" w:color="auto"/>
        <w:right w:val="none" w:sz="0" w:space="0" w:color="auto"/>
      </w:divBdr>
    </w:div>
    <w:div w:id="39208054">
      <w:marLeft w:val="0"/>
      <w:marRight w:val="0"/>
      <w:marTop w:val="0"/>
      <w:marBottom w:val="0"/>
      <w:divBdr>
        <w:top w:val="none" w:sz="0" w:space="0" w:color="auto"/>
        <w:left w:val="none" w:sz="0" w:space="0" w:color="auto"/>
        <w:bottom w:val="none" w:sz="0" w:space="0" w:color="auto"/>
        <w:right w:val="none" w:sz="0" w:space="0" w:color="auto"/>
      </w:divBdr>
    </w:div>
    <w:div w:id="39208055">
      <w:marLeft w:val="0"/>
      <w:marRight w:val="0"/>
      <w:marTop w:val="0"/>
      <w:marBottom w:val="0"/>
      <w:divBdr>
        <w:top w:val="none" w:sz="0" w:space="0" w:color="auto"/>
        <w:left w:val="none" w:sz="0" w:space="0" w:color="auto"/>
        <w:bottom w:val="none" w:sz="0" w:space="0" w:color="auto"/>
        <w:right w:val="none" w:sz="0" w:space="0" w:color="auto"/>
      </w:divBdr>
    </w:div>
    <w:div w:id="39208056">
      <w:marLeft w:val="0"/>
      <w:marRight w:val="0"/>
      <w:marTop w:val="0"/>
      <w:marBottom w:val="0"/>
      <w:divBdr>
        <w:top w:val="none" w:sz="0" w:space="0" w:color="auto"/>
        <w:left w:val="none" w:sz="0" w:space="0" w:color="auto"/>
        <w:bottom w:val="none" w:sz="0" w:space="0" w:color="auto"/>
        <w:right w:val="none" w:sz="0" w:space="0" w:color="auto"/>
      </w:divBdr>
    </w:div>
    <w:div w:id="39208057">
      <w:marLeft w:val="0"/>
      <w:marRight w:val="0"/>
      <w:marTop w:val="0"/>
      <w:marBottom w:val="0"/>
      <w:divBdr>
        <w:top w:val="none" w:sz="0" w:space="0" w:color="auto"/>
        <w:left w:val="none" w:sz="0" w:space="0" w:color="auto"/>
        <w:bottom w:val="none" w:sz="0" w:space="0" w:color="auto"/>
        <w:right w:val="none" w:sz="0" w:space="0" w:color="auto"/>
      </w:divBdr>
    </w:div>
    <w:div w:id="39208060">
      <w:marLeft w:val="0"/>
      <w:marRight w:val="0"/>
      <w:marTop w:val="0"/>
      <w:marBottom w:val="0"/>
      <w:divBdr>
        <w:top w:val="none" w:sz="0" w:space="0" w:color="auto"/>
        <w:left w:val="none" w:sz="0" w:space="0" w:color="auto"/>
        <w:bottom w:val="none" w:sz="0" w:space="0" w:color="auto"/>
        <w:right w:val="none" w:sz="0" w:space="0" w:color="auto"/>
      </w:divBdr>
    </w:div>
    <w:div w:id="39208066">
      <w:marLeft w:val="0"/>
      <w:marRight w:val="0"/>
      <w:marTop w:val="0"/>
      <w:marBottom w:val="0"/>
      <w:divBdr>
        <w:top w:val="none" w:sz="0" w:space="0" w:color="auto"/>
        <w:left w:val="none" w:sz="0" w:space="0" w:color="auto"/>
        <w:bottom w:val="none" w:sz="0" w:space="0" w:color="auto"/>
        <w:right w:val="none" w:sz="0" w:space="0" w:color="auto"/>
      </w:divBdr>
      <w:divsChild>
        <w:div w:id="39208074">
          <w:marLeft w:val="0"/>
          <w:marRight w:val="0"/>
          <w:marTop w:val="0"/>
          <w:marBottom w:val="0"/>
          <w:divBdr>
            <w:top w:val="none" w:sz="0" w:space="0" w:color="auto"/>
            <w:left w:val="none" w:sz="0" w:space="0" w:color="auto"/>
            <w:bottom w:val="none" w:sz="0" w:space="0" w:color="auto"/>
            <w:right w:val="none" w:sz="0" w:space="0" w:color="auto"/>
          </w:divBdr>
          <w:divsChild>
            <w:div w:id="39208070">
              <w:marLeft w:val="0"/>
              <w:marRight w:val="0"/>
              <w:marTop w:val="0"/>
              <w:marBottom w:val="0"/>
              <w:divBdr>
                <w:top w:val="none" w:sz="0" w:space="0" w:color="auto"/>
                <w:left w:val="none" w:sz="0" w:space="0" w:color="auto"/>
                <w:bottom w:val="none" w:sz="0" w:space="0" w:color="auto"/>
                <w:right w:val="none" w:sz="0" w:space="0" w:color="auto"/>
              </w:divBdr>
              <w:divsChild>
                <w:div w:id="39208072">
                  <w:marLeft w:val="0"/>
                  <w:marRight w:val="0"/>
                  <w:marTop w:val="0"/>
                  <w:marBottom w:val="0"/>
                  <w:divBdr>
                    <w:top w:val="none" w:sz="0" w:space="0" w:color="auto"/>
                    <w:left w:val="none" w:sz="0" w:space="0" w:color="auto"/>
                    <w:bottom w:val="none" w:sz="0" w:space="0" w:color="auto"/>
                    <w:right w:val="none" w:sz="0" w:space="0" w:color="auto"/>
                  </w:divBdr>
                  <w:divsChild>
                    <w:div w:id="39208068">
                      <w:marLeft w:val="0"/>
                      <w:marRight w:val="0"/>
                      <w:marTop w:val="0"/>
                      <w:marBottom w:val="0"/>
                      <w:divBdr>
                        <w:top w:val="none" w:sz="0" w:space="0" w:color="auto"/>
                        <w:left w:val="none" w:sz="0" w:space="0" w:color="auto"/>
                        <w:bottom w:val="none" w:sz="0" w:space="0" w:color="auto"/>
                        <w:right w:val="none" w:sz="0" w:space="0" w:color="auto"/>
                      </w:divBdr>
                      <w:divsChild>
                        <w:div w:id="39208058">
                          <w:marLeft w:val="0"/>
                          <w:marRight w:val="0"/>
                          <w:marTop w:val="0"/>
                          <w:marBottom w:val="0"/>
                          <w:divBdr>
                            <w:top w:val="none" w:sz="0" w:space="0" w:color="auto"/>
                            <w:left w:val="none" w:sz="0" w:space="0" w:color="auto"/>
                            <w:bottom w:val="none" w:sz="0" w:space="0" w:color="auto"/>
                            <w:right w:val="none" w:sz="0" w:space="0" w:color="auto"/>
                          </w:divBdr>
                          <w:divsChild>
                            <w:div w:id="39208062">
                              <w:marLeft w:val="0"/>
                              <w:marRight w:val="0"/>
                              <w:marTop w:val="0"/>
                              <w:marBottom w:val="0"/>
                              <w:divBdr>
                                <w:top w:val="none" w:sz="0" w:space="0" w:color="auto"/>
                                <w:left w:val="none" w:sz="0" w:space="0" w:color="auto"/>
                                <w:bottom w:val="none" w:sz="0" w:space="0" w:color="auto"/>
                                <w:right w:val="none" w:sz="0" w:space="0" w:color="auto"/>
                              </w:divBdr>
                              <w:divsChild>
                                <w:div w:id="39208059">
                                  <w:marLeft w:val="0"/>
                                  <w:marRight w:val="0"/>
                                  <w:marTop w:val="0"/>
                                  <w:marBottom w:val="0"/>
                                  <w:divBdr>
                                    <w:top w:val="none" w:sz="0" w:space="0" w:color="auto"/>
                                    <w:left w:val="none" w:sz="0" w:space="0" w:color="auto"/>
                                    <w:bottom w:val="none" w:sz="0" w:space="0" w:color="auto"/>
                                    <w:right w:val="none" w:sz="0" w:space="0" w:color="auto"/>
                                  </w:divBdr>
                                  <w:divsChild>
                                    <w:div w:id="39208064">
                                      <w:marLeft w:val="60"/>
                                      <w:marRight w:val="0"/>
                                      <w:marTop w:val="0"/>
                                      <w:marBottom w:val="0"/>
                                      <w:divBdr>
                                        <w:top w:val="none" w:sz="0" w:space="0" w:color="auto"/>
                                        <w:left w:val="none" w:sz="0" w:space="0" w:color="auto"/>
                                        <w:bottom w:val="none" w:sz="0" w:space="0" w:color="auto"/>
                                        <w:right w:val="none" w:sz="0" w:space="0" w:color="auto"/>
                                      </w:divBdr>
                                      <w:divsChild>
                                        <w:div w:id="39208061">
                                          <w:marLeft w:val="0"/>
                                          <w:marRight w:val="0"/>
                                          <w:marTop w:val="0"/>
                                          <w:marBottom w:val="0"/>
                                          <w:divBdr>
                                            <w:top w:val="none" w:sz="0" w:space="0" w:color="auto"/>
                                            <w:left w:val="none" w:sz="0" w:space="0" w:color="auto"/>
                                            <w:bottom w:val="none" w:sz="0" w:space="0" w:color="auto"/>
                                            <w:right w:val="none" w:sz="0" w:space="0" w:color="auto"/>
                                          </w:divBdr>
                                          <w:divsChild>
                                            <w:div w:id="39208065">
                                              <w:marLeft w:val="0"/>
                                              <w:marRight w:val="0"/>
                                              <w:marTop w:val="0"/>
                                              <w:marBottom w:val="120"/>
                                              <w:divBdr>
                                                <w:top w:val="single" w:sz="6" w:space="0" w:color="F5F5F5"/>
                                                <w:left w:val="single" w:sz="6" w:space="0" w:color="F5F5F5"/>
                                                <w:bottom w:val="single" w:sz="6" w:space="0" w:color="F5F5F5"/>
                                                <w:right w:val="single" w:sz="6" w:space="0" w:color="F5F5F5"/>
                                              </w:divBdr>
                                              <w:divsChild>
                                                <w:div w:id="39208069">
                                                  <w:marLeft w:val="0"/>
                                                  <w:marRight w:val="0"/>
                                                  <w:marTop w:val="0"/>
                                                  <w:marBottom w:val="0"/>
                                                  <w:divBdr>
                                                    <w:top w:val="none" w:sz="0" w:space="0" w:color="auto"/>
                                                    <w:left w:val="none" w:sz="0" w:space="0" w:color="auto"/>
                                                    <w:bottom w:val="none" w:sz="0" w:space="0" w:color="auto"/>
                                                    <w:right w:val="none" w:sz="0" w:space="0" w:color="auto"/>
                                                  </w:divBdr>
                                                  <w:divsChild>
                                                    <w:div w:id="3920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9208067">
      <w:marLeft w:val="0"/>
      <w:marRight w:val="0"/>
      <w:marTop w:val="0"/>
      <w:marBottom w:val="0"/>
      <w:divBdr>
        <w:top w:val="none" w:sz="0" w:space="0" w:color="auto"/>
        <w:left w:val="none" w:sz="0" w:space="0" w:color="auto"/>
        <w:bottom w:val="none" w:sz="0" w:space="0" w:color="auto"/>
        <w:right w:val="none" w:sz="0" w:space="0" w:color="auto"/>
      </w:divBdr>
    </w:div>
    <w:div w:id="39208071">
      <w:marLeft w:val="0"/>
      <w:marRight w:val="0"/>
      <w:marTop w:val="0"/>
      <w:marBottom w:val="0"/>
      <w:divBdr>
        <w:top w:val="none" w:sz="0" w:space="0" w:color="auto"/>
        <w:left w:val="none" w:sz="0" w:space="0" w:color="auto"/>
        <w:bottom w:val="none" w:sz="0" w:space="0" w:color="auto"/>
        <w:right w:val="none" w:sz="0" w:space="0" w:color="auto"/>
      </w:divBdr>
    </w:div>
    <w:div w:id="39208073">
      <w:marLeft w:val="0"/>
      <w:marRight w:val="0"/>
      <w:marTop w:val="0"/>
      <w:marBottom w:val="0"/>
      <w:divBdr>
        <w:top w:val="none" w:sz="0" w:space="0" w:color="auto"/>
        <w:left w:val="none" w:sz="0" w:space="0" w:color="auto"/>
        <w:bottom w:val="none" w:sz="0" w:space="0" w:color="auto"/>
        <w:right w:val="none" w:sz="0" w:space="0" w:color="auto"/>
      </w:divBdr>
    </w:div>
    <w:div w:id="39208075">
      <w:marLeft w:val="0"/>
      <w:marRight w:val="0"/>
      <w:marTop w:val="0"/>
      <w:marBottom w:val="0"/>
      <w:divBdr>
        <w:top w:val="none" w:sz="0" w:space="0" w:color="auto"/>
        <w:left w:val="none" w:sz="0" w:space="0" w:color="auto"/>
        <w:bottom w:val="none" w:sz="0" w:space="0" w:color="auto"/>
        <w:right w:val="none" w:sz="0" w:space="0" w:color="auto"/>
      </w:divBdr>
    </w:div>
    <w:div w:id="39208076">
      <w:marLeft w:val="0"/>
      <w:marRight w:val="0"/>
      <w:marTop w:val="0"/>
      <w:marBottom w:val="0"/>
      <w:divBdr>
        <w:top w:val="none" w:sz="0" w:space="0" w:color="auto"/>
        <w:left w:val="none" w:sz="0" w:space="0" w:color="auto"/>
        <w:bottom w:val="none" w:sz="0" w:space="0" w:color="auto"/>
        <w:right w:val="none" w:sz="0" w:space="0" w:color="auto"/>
      </w:divBdr>
    </w:div>
    <w:div w:id="39208077">
      <w:marLeft w:val="0"/>
      <w:marRight w:val="0"/>
      <w:marTop w:val="0"/>
      <w:marBottom w:val="0"/>
      <w:divBdr>
        <w:top w:val="none" w:sz="0" w:space="0" w:color="auto"/>
        <w:left w:val="none" w:sz="0" w:space="0" w:color="auto"/>
        <w:bottom w:val="none" w:sz="0" w:space="0" w:color="auto"/>
        <w:right w:val="none" w:sz="0" w:space="0" w:color="auto"/>
      </w:divBdr>
    </w:div>
    <w:div w:id="69156734">
      <w:bodyDiv w:val="1"/>
      <w:marLeft w:val="0"/>
      <w:marRight w:val="0"/>
      <w:marTop w:val="0"/>
      <w:marBottom w:val="0"/>
      <w:divBdr>
        <w:top w:val="none" w:sz="0" w:space="0" w:color="auto"/>
        <w:left w:val="none" w:sz="0" w:space="0" w:color="auto"/>
        <w:bottom w:val="none" w:sz="0" w:space="0" w:color="auto"/>
        <w:right w:val="none" w:sz="0" w:space="0" w:color="auto"/>
      </w:divBdr>
    </w:div>
    <w:div w:id="70278554">
      <w:bodyDiv w:val="1"/>
      <w:marLeft w:val="0"/>
      <w:marRight w:val="0"/>
      <w:marTop w:val="0"/>
      <w:marBottom w:val="0"/>
      <w:divBdr>
        <w:top w:val="none" w:sz="0" w:space="0" w:color="auto"/>
        <w:left w:val="none" w:sz="0" w:space="0" w:color="auto"/>
        <w:bottom w:val="none" w:sz="0" w:space="0" w:color="auto"/>
        <w:right w:val="none" w:sz="0" w:space="0" w:color="auto"/>
      </w:divBdr>
    </w:div>
    <w:div w:id="72361655">
      <w:bodyDiv w:val="1"/>
      <w:marLeft w:val="0"/>
      <w:marRight w:val="0"/>
      <w:marTop w:val="0"/>
      <w:marBottom w:val="0"/>
      <w:divBdr>
        <w:top w:val="none" w:sz="0" w:space="0" w:color="auto"/>
        <w:left w:val="none" w:sz="0" w:space="0" w:color="auto"/>
        <w:bottom w:val="none" w:sz="0" w:space="0" w:color="auto"/>
        <w:right w:val="none" w:sz="0" w:space="0" w:color="auto"/>
      </w:divBdr>
    </w:div>
    <w:div w:id="120926126">
      <w:bodyDiv w:val="1"/>
      <w:marLeft w:val="0"/>
      <w:marRight w:val="0"/>
      <w:marTop w:val="0"/>
      <w:marBottom w:val="0"/>
      <w:divBdr>
        <w:top w:val="none" w:sz="0" w:space="0" w:color="auto"/>
        <w:left w:val="none" w:sz="0" w:space="0" w:color="auto"/>
        <w:bottom w:val="none" w:sz="0" w:space="0" w:color="auto"/>
        <w:right w:val="none" w:sz="0" w:space="0" w:color="auto"/>
      </w:divBdr>
    </w:div>
    <w:div w:id="151022550">
      <w:bodyDiv w:val="1"/>
      <w:marLeft w:val="0"/>
      <w:marRight w:val="0"/>
      <w:marTop w:val="0"/>
      <w:marBottom w:val="0"/>
      <w:divBdr>
        <w:top w:val="none" w:sz="0" w:space="0" w:color="auto"/>
        <w:left w:val="none" w:sz="0" w:space="0" w:color="auto"/>
        <w:bottom w:val="none" w:sz="0" w:space="0" w:color="auto"/>
        <w:right w:val="none" w:sz="0" w:space="0" w:color="auto"/>
      </w:divBdr>
    </w:div>
    <w:div w:id="202669180">
      <w:bodyDiv w:val="1"/>
      <w:marLeft w:val="0"/>
      <w:marRight w:val="0"/>
      <w:marTop w:val="0"/>
      <w:marBottom w:val="0"/>
      <w:divBdr>
        <w:top w:val="none" w:sz="0" w:space="0" w:color="auto"/>
        <w:left w:val="none" w:sz="0" w:space="0" w:color="auto"/>
        <w:bottom w:val="none" w:sz="0" w:space="0" w:color="auto"/>
        <w:right w:val="none" w:sz="0" w:space="0" w:color="auto"/>
      </w:divBdr>
    </w:div>
    <w:div w:id="214700370">
      <w:bodyDiv w:val="1"/>
      <w:marLeft w:val="0"/>
      <w:marRight w:val="0"/>
      <w:marTop w:val="0"/>
      <w:marBottom w:val="0"/>
      <w:divBdr>
        <w:top w:val="none" w:sz="0" w:space="0" w:color="auto"/>
        <w:left w:val="none" w:sz="0" w:space="0" w:color="auto"/>
        <w:bottom w:val="none" w:sz="0" w:space="0" w:color="auto"/>
        <w:right w:val="none" w:sz="0" w:space="0" w:color="auto"/>
      </w:divBdr>
    </w:div>
    <w:div w:id="233516797">
      <w:bodyDiv w:val="1"/>
      <w:marLeft w:val="0"/>
      <w:marRight w:val="0"/>
      <w:marTop w:val="0"/>
      <w:marBottom w:val="0"/>
      <w:divBdr>
        <w:top w:val="none" w:sz="0" w:space="0" w:color="auto"/>
        <w:left w:val="none" w:sz="0" w:space="0" w:color="auto"/>
        <w:bottom w:val="none" w:sz="0" w:space="0" w:color="auto"/>
        <w:right w:val="none" w:sz="0" w:space="0" w:color="auto"/>
      </w:divBdr>
    </w:div>
    <w:div w:id="295336412">
      <w:bodyDiv w:val="1"/>
      <w:marLeft w:val="0"/>
      <w:marRight w:val="0"/>
      <w:marTop w:val="0"/>
      <w:marBottom w:val="0"/>
      <w:divBdr>
        <w:top w:val="none" w:sz="0" w:space="0" w:color="auto"/>
        <w:left w:val="none" w:sz="0" w:space="0" w:color="auto"/>
        <w:bottom w:val="none" w:sz="0" w:space="0" w:color="auto"/>
        <w:right w:val="none" w:sz="0" w:space="0" w:color="auto"/>
      </w:divBdr>
    </w:div>
    <w:div w:id="298267906">
      <w:bodyDiv w:val="1"/>
      <w:marLeft w:val="0"/>
      <w:marRight w:val="0"/>
      <w:marTop w:val="0"/>
      <w:marBottom w:val="0"/>
      <w:divBdr>
        <w:top w:val="none" w:sz="0" w:space="0" w:color="auto"/>
        <w:left w:val="none" w:sz="0" w:space="0" w:color="auto"/>
        <w:bottom w:val="none" w:sz="0" w:space="0" w:color="auto"/>
        <w:right w:val="none" w:sz="0" w:space="0" w:color="auto"/>
      </w:divBdr>
    </w:div>
    <w:div w:id="410128222">
      <w:bodyDiv w:val="1"/>
      <w:marLeft w:val="0"/>
      <w:marRight w:val="0"/>
      <w:marTop w:val="0"/>
      <w:marBottom w:val="0"/>
      <w:divBdr>
        <w:top w:val="none" w:sz="0" w:space="0" w:color="auto"/>
        <w:left w:val="none" w:sz="0" w:space="0" w:color="auto"/>
        <w:bottom w:val="none" w:sz="0" w:space="0" w:color="auto"/>
        <w:right w:val="none" w:sz="0" w:space="0" w:color="auto"/>
      </w:divBdr>
    </w:div>
    <w:div w:id="455372056">
      <w:bodyDiv w:val="1"/>
      <w:marLeft w:val="0"/>
      <w:marRight w:val="0"/>
      <w:marTop w:val="0"/>
      <w:marBottom w:val="0"/>
      <w:divBdr>
        <w:top w:val="none" w:sz="0" w:space="0" w:color="auto"/>
        <w:left w:val="none" w:sz="0" w:space="0" w:color="auto"/>
        <w:bottom w:val="none" w:sz="0" w:space="0" w:color="auto"/>
        <w:right w:val="none" w:sz="0" w:space="0" w:color="auto"/>
      </w:divBdr>
    </w:div>
    <w:div w:id="455951400">
      <w:bodyDiv w:val="1"/>
      <w:marLeft w:val="0"/>
      <w:marRight w:val="0"/>
      <w:marTop w:val="0"/>
      <w:marBottom w:val="0"/>
      <w:divBdr>
        <w:top w:val="none" w:sz="0" w:space="0" w:color="auto"/>
        <w:left w:val="none" w:sz="0" w:space="0" w:color="auto"/>
        <w:bottom w:val="none" w:sz="0" w:space="0" w:color="auto"/>
        <w:right w:val="none" w:sz="0" w:space="0" w:color="auto"/>
      </w:divBdr>
    </w:div>
    <w:div w:id="569655410">
      <w:bodyDiv w:val="1"/>
      <w:marLeft w:val="0"/>
      <w:marRight w:val="0"/>
      <w:marTop w:val="0"/>
      <w:marBottom w:val="0"/>
      <w:divBdr>
        <w:top w:val="none" w:sz="0" w:space="0" w:color="auto"/>
        <w:left w:val="none" w:sz="0" w:space="0" w:color="auto"/>
        <w:bottom w:val="none" w:sz="0" w:space="0" w:color="auto"/>
        <w:right w:val="none" w:sz="0" w:space="0" w:color="auto"/>
      </w:divBdr>
    </w:div>
    <w:div w:id="596601453">
      <w:bodyDiv w:val="1"/>
      <w:marLeft w:val="0"/>
      <w:marRight w:val="0"/>
      <w:marTop w:val="0"/>
      <w:marBottom w:val="0"/>
      <w:divBdr>
        <w:top w:val="none" w:sz="0" w:space="0" w:color="auto"/>
        <w:left w:val="none" w:sz="0" w:space="0" w:color="auto"/>
        <w:bottom w:val="none" w:sz="0" w:space="0" w:color="auto"/>
        <w:right w:val="none" w:sz="0" w:space="0" w:color="auto"/>
      </w:divBdr>
    </w:div>
    <w:div w:id="724764341">
      <w:bodyDiv w:val="1"/>
      <w:marLeft w:val="0"/>
      <w:marRight w:val="0"/>
      <w:marTop w:val="0"/>
      <w:marBottom w:val="0"/>
      <w:divBdr>
        <w:top w:val="none" w:sz="0" w:space="0" w:color="auto"/>
        <w:left w:val="none" w:sz="0" w:space="0" w:color="auto"/>
        <w:bottom w:val="none" w:sz="0" w:space="0" w:color="auto"/>
        <w:right w:val="none" w:sz="0" w:space="0" w:color="auto"/>
      </w:divBdr>
    </w:div>
    <w:div w:id="731267682">
      <w:bodyDiv w:val="1"/>
      <w:marLeft w:val="0"/>
      <w:marRight w:val="0"/>
      <w:marTop w:val="0"/>
      <w:marBottom w:val="0"/>
      <w:divBdr>
        <w:top w:val="none" w:sz="0" w:space="0" w:color="auto"/>
        <w:left w:val="none" w:sz="0" w:space="0" w:color="auto"/>
        <w:bottom w:val="none" w:sz="0" w:space="0" w:color="auto"/>
        <w:right w:val="none" w:sz="0" w:space="0" w:color="auto"/>
      </w:divBdr>
    </w:div>
    <w:div w:id="765269146">
      <w:bodyDiv w:val="1"/>
      <w:marLeft w:val="0"/>
      <w:marRight w:val="0"/>
      <w:marTop w:val="0"/>
      <w:marBottom w:val="0"/>
      <w:divBdr>
        <w:top w:val="none" w:sz="0" w:space="0" w:color="auto"/>
        <w:left w:val="none" w:sz="0" w:space="0" w:color="auto"/>
        <w:bottom w:val="none" w:sz="0" w:space="0" w:color="auto"/>
        <w:right w:val="none" w:sz="0" w:space="0" w:color="auto"/>
      </w:divBdr>
    </w:div>
    <w:div w:id="771903677">
      <w:bodyDiv w:val="1"/>
      <w:marLeft w:val="0"/>
      <w:marRight w:val="0"/>
      <w:marTop w:val="0"/>
      <w:marBottom w:val="0"/>
      <w:divBdr>
        <w:top w:val="none" w:sz="0" w:space="0" w:color="auto"/>
        <w:left w:val="none" w:sz="0" w:space="0" w:color="auto"/>
        <w:bottom w:val="none" w:sz="0" w:space="0" w:color="auto"/>
        <w:right w:val="none" w:sz="0" w:space="0" w:color="auto"/>
      </w:divBdr>
    </w:div>
    <w:div w:id="776603032">
      <w:bodyDiv w:val="1"/>
      <w:marLeft w:val="0"/>
      <w:marRight w:val="0"/>
      <w:marTop w:val="0"/>
      <w:marBottom w:val="0"/>
      <w:divBdr>
        <w:top w:val="none" w:sz="0" w:space="0" w:color="auto"/>
        <w:left w:val="none" w:sz="0" w:space="0" w:color="auto"/>
        <w:bottom w:val="none" w:sz="0" w:space="0" w:color="auto"/>
        <w:right w:val="none" w:sz="0" w:space="0" w:color="auto"/>
      </w:divBdr>
    </w:div>
    <w:div w:id="873159283">
      <w:bodyDiv w:val="1"/>
      <w:marLeft w:val="0"/>
      <w:marRight w:val="0"/>
      <w:marTop w:val="0"/>
      <w:marBottom w:val="0"/>
      <w:divBdr>
        <w:top w:val="none" w:sz="0" w:space="0" w:color="auto"/>
        <w:left w:val="none" w:sz="0" w:space="0" w:color="auto"/>
        <w:bottom w:val="none" w:sz="0" w:space="0" w:color="auto"/>
        <w:right w:val="none" w:sz="0" w:space="0" w:color="auto"/>
      </w:divBdr>
    </w:div>
    <w:div w:id="895091579">
      <w:bodyDiv w:val="1"/>
      <w:marLeft w:val="0"/>
      <w:marRight w:val="0"/>
      <w:marTop w:val="0"/>
      <w:marBottom w:val="0"/>
      <w:divBdr>
        <w:top w:val="none" w:sz="0" w:space="0" w:color="auto"/>
        <w:left w:val="none" w:sz="0" w:space="0" w:color="auto"/>
        <w:bottom w:val="none" w:sz="0" w:space="0" w:color="auto"/>
        <w:right w:val="none" w:sz="0" w:space="0" w:color="auto"/>
      </w:divBdr>
    </w:div>
    <w:div w:id="927233085">
      <w:bodyDiv w:val="1"/>
      <w:marLeft w:val="0"/>
      <w:marRight w:val="0"/>
      <w:marTop w:val="0"/>
      <w:marBottom w:val="0"/>
      <w:divBdr>
        <w:top w:val="none" w:sz="0" w:space="0" w:color="auto"/>
        <w:left w:val="none" w:sz="0" w:space="0" w:color="auto"/>
        <w:bottom w:val="none" w:sz="0" w:space="0" w:color="auto"/>
        <w:right w:val="none" w:sz="0" w:space="0" w:color="auto"/>
      </w:divBdr>
    </w:div>
    <w:div w:id="986783566">
      <w:bodyDiv w:val="1"/>
      <w:marLeft w:val="0"/>
      <w:marRight w:val="0"/>
      <w:marTop w:val="0"/>
      <w:marBottom w:val="0"/>
      <w:divBdr>
        <w:top w:val="none" w:sz="0" w:space="0" w:color="auto"/>
        <w:left w:val="none" w:sz="0" w:space="0" w:color="auto"/>
        <w:bottom w:val="none" w:sz="0" w:space="0" w:color="auto"/>
        <w:right w:val="none" w:sz="0" w:space="0" w:color="auto"/>
      </w:divBdr>
    </w:div>
    <w:div w:id="1014261110">
      <w:bodyDiv w:val="1"/>
      <w:marLeft w:val="0"/>
      <w:marRight w:val="0"/>
      <w:marTop w:val="0"/>
      <w:marBottom w:val="0"/>
      <w:divBdr>
        <w:top w:val="none" w:sz="0" w:space="0" w:color="auto"/>
        <w:left w:val="none" w:sz="0" w:space="0" w:color="auto"/>
        <w:bottom w:val="none" w:sz="0" w:space="0" w:color="auto"/>
        <w:right w:val="none" w:sz="0" w:space="0" w:color="auto"/>
      </w:divBdr>
    </w:div>
    <w:div w:id="1074428881">
      <w:bodyDiv w:val="1"/>
      <w:marLeft w:val="0"/>
      <w:marRight w:val="0"/>
      <w:marTop w:val="0"/>
      <w:marBottom w:val="0"/>
      <w:divBdr>
        <w:top w:val="none" w:sz="0" w:space="0" w:color="auto"/>
        <w:left w:val="none" w:sz="0" w:space="0" w:color="auto"/>
        <w:bottom w:val="none" w:sz="0" w:space="0" w:color="auto"/>
        <w:right w:val="none" w:sz="0" w:space="0" w:color="auto"/>
      </w:divBdr>
    </w:div>
    <w:div w:id="1083794358">
      <w:bodyDiv w:val="1"/>
      <w:marLeft w:val="0"/>
      <w:marRight w:val="0"/>
      <w:marTop w:val="0"/>
      <w:marBottom w:val="0"/>
      <w:divBdr>
        <w:top w:val="none" w:sz="0" w:space="0" w:color="auto"/>
        <w:left w:val="none" w:sz="0" w:space="0" w:color="auto"/>
        <w:bottom w:val="none" w:sz="0" w:space="0" w:color="auto"/>
        <w:right w:val="none" w:sz="0" w:space="0" w:color="auto"/>
      </w:divBdr>
    </w:div>
    <w:div w:id="1121069005">
      <w:bodyDiv w:val="1"/>
      <w:marLeft w:val="0"/>
      <w:marRight w:val="0"/>
      <w:marTop w:val="0"/>
      <w:marBottom w:val="0"/>
      <w:divBdr>
        <w:top w:val="none" w:sz="0" w:space="0" w:color="auto"/>
        <w:left w:val="none" w:sz="0" w:space="0" w:color="auto"/>
        <w:bottom w:val="none" w:sz="0" w:space="0" w:color="auto"/>
        <w:right w:val="none" w:sz="0" w:space="0" w:color="auto"/>
      </w:divBdr>
    </w:div>
    <w:div w:id="1137645407">
      <w:bodyDiv w:val="1"/>
      <w:marLeft w:val="0"/>
      <w:marRight w:val="0"/>
      <w:marTop w:val="0"/>
      <w:marBottom w:val="0"/>
      <w:divBdr>
        <w:top w:val="none" w:sz="0" w:space="0" w:color="auto"/>
        <w:left w:val="none" w:sz="0" w:space="0" w:color="auto"/>
        <w:bottom w:val="none" w:sz="0" w:space="0" w:color="auto"/>
        <w:right w:val="none" w:sz="0" w:space="0" w:color="auto"/>
      </w:divBdr>
    </w:div>
    <w:div w:id="1143497739">
      <w:bodyDiv w:val="1"/>
      <w:marLeft w:val="0"/>
      <w:marRight w:val="0"/>
      <w:marTop w:val="0"/>
      <w:marBottom w:val="0"/>
      <w:divBdr>
        <w:top w:val="none" w:sz="0" w:space="0" w:color="auto"/>
        <w:left w:val="none" w:sz="0" w:space="0" w:color="auto"/>
        <w:bottom w:val="none" w:sz="0" w:space="0" w:color="auto"/>
        <w:right w:val="none" w:sz="0" w:space="0" w:color="auto"/>
      </w:divBdr>
    </w:div>
    <w:div w:id="1152721265">
      <w:bodyDiv w:val="1"/>
      <w:marLeft w:val="0"/>
      <w:marRight w:val="0"/>
      <w:marTop w:val="0"/>
      <w:marBottom w:val="0"/>
      <w:divBdr>
        <w:top w:val="none" w:sz="0" w:space="0" w:color="auto"/>
        <w:left w:val="none" w:sz="0" w:space="0" w:color="auto"/>
        <w:bottom w:val="none" w:sz="0" w:space="0" w:color="auto"/>
        <w:right w:val="none" w:sz="0" w:space="0" w:color="auto"/>
      </w:divBdr>
    </w:div>
    <w:div w:id="1157266383">
      <w:bodyDiv w:val="1"/>
      <w:marLeft w:val="0"/>
      <w:marRight w:val="0"/>
      <w:marTop w:val="0"/>
      <w:marBottom w:val="0"/>
      <w:divBdr>
        <w:top w:val="none" w:sz="0" w:space="0" w:color="auto"/>
        <w:left w:val="none" w:sz="0" w:space="0" w:color="auto"/>
        <w:bottom w:val="none" w:sz="0" w:space="0" w:color="auto"/>
        <w:right w:val="none" w:sz="0" w:space="0" w:color="auto"/>
      </w:divBdr>
    </w:div>
    <w:div w:id="1180584398">
      <w:bodyDiv w:val="1"/>
      <w:marLeft w:val="0"/>
      <w:marRight w:val="0"/>
      <w:marTop w:val="0"/>
      <w:marBottom w:val="0"/>
      <w:divBdr>
        <w:top w:val="none" w:sz="0" w:space="0" w:color="auto"/>
        <w:left w:val="none" w:sz="0" w:space="0" w:color="auto"/>
        <w:bottom w:val="none" w:sz="0" w:space="0" w:color="auto"/>
        <w:right w:val="none" w:sz="0" w:space="0" w:color="auto"/>
      </w:divBdr>
    </w:div>
    <w:div w:id="1273976643">
      <w:bodyDiv w:val="1"/>
      <w:marLeft w:val="0"/>
      <w:marRight w:val="0"/>
      <w:marTop w:val="0"/>
      <w:marBottom w:val="0"/>
      <w:divBdr>
        <w:top w:val="none" w:sz="0" w:space="0" w:color="auto"/>
        <w:left w:val="none" w:sz="0" w:space="0" w:color="auto"/>
        <w:bottom w:val="none" w:sz="0" w:space="0" w:color="auto"/>
        <w:right w:val="none" w:sz="0" w:space="0" w:color="auto"/>
      </w:divBdr>
    </w:div>
    <w:div w:id="1318339146">
      <w:bodyDiv w:val="1"/>
      <w:marLeft w:val="0"/>
      <w:marRight w:val="0"/>
      <w:marTop w:val="0"/>
      <w:marBottom w:val="0"/>
      <w:divBdr>
        <w:top w:val="none" w:sz="0" w:space="0" w:color="auto"/>
        <w:left w:val="none" w:sz="0" w:space="0" w:color="auto"/>
        <w:bottom w:val="none" w:sz="0" w:space="0" w:color="auto"/>
        <w:right w:val="none" w:sz="0" w:space="0" w:color="auto"/>
      </w:divBdr>
    </w:div>
    <w:div w:id="1404448821">
      <w:bodyDiv w:val="1"/>
      <w:marLeft w:val="0"/>
      <w:marRight w:val="0"/>
      <w:marTop w:val="0"/>
      <w:marBottom w:val="0"/>
      <w:divBdr>
        <w:top w:val="none" w:sz="0" w:space="0" w:color="auto"/>
        <w:left w:val="none" w:sz="0" w:space="0" w:color="auto"/>
        <w:bottom w:val="none" w:sz="0" w:space="0" w:color="auto"/>
        <w:right w:val="none" w:sz="0" w:space="0" w:color="auto"/>
      </w:divBdr>
    </w:div>
    <w:div w:id="1434008960">
      <w:bodyDiv w:val="1"/>
      <w:marLeft w:val="0"/>
      <w:marRight w:val="0"/>
      <w:marTop w:val="0"/>
      <w:marBottom w:val="0"/>
      <w:divBdr>
        <w:top w:val="none" w:sz="0" w:space="0" w:color="auto"/>
        <w:left w:val="none" w:sz="0" w:space="0" w:color="auto"/>
        <w:bottom w:val="none" w:sz="0" w:space="0" w:color="auto"/>
        <w:right w:val="none" w:sz="0" w:space="0" w:color="auto"/>
      </w:divBdr>
    </w:div>
    <w:div w:id="1538350118">
      <w:bodyDiv w:val="1"/>
      <w:marLeft w:val="0"/>
      <w:marRight w:val="0"/>
      <w:marTop w:val="0"/>
      <w:marBottom w:val="0"/>
      <w:divBdr>
        <w:top w:val="none" w:sz="0" w:space="0" w:color="auto"/>
        <w:left w:val="none" w:sz="0" w:space="0" w:color="auto"/>
        <w:bottom w:val="none" w:sz="0" w:space="0" w:color="auto"/>
        <w:right w:val="none" w:sz="0" w:space="0" w:color="auto"/>
      </w:divBdr>
    </w:div>
    <w:div w:id="1552306154">
      <w:bodyDiv w:val="1"/>
      <w:marLeft w:val="0"/>
      <w:marRight w:val="0"/>
      <w:marTop w:val="0"/>
      <w:marBottom w:val="0"/>
      <w:divBdr>
        <w:top w:val="none" w:sz="0" w:space="0" w:color="auto"/>
        <w:left w:val="none" w:sz="0" w:space="0" w:color="auto"/>
        <w:bottom w:val="none" w:sz="0" w:space="0" w:color="auto"/>
        <w:right w:val="none" w:sz="0" w:space="0" w:color="auto"/>
      </w:divBdr>
    </w:div>
    <w:div w:id="1569919715">
      <w:bodyDiv w:val="1"/>
      <w:marLeft w:val="0"/>
      <w:marRight w:val="0"/>
      <w:marTop w:val="0"/>
      <w:marBottom w:val="0"/>
      <w:divBdr>
        <w:top w:val="none" w:sz="0" w:space="0" w:color="auto"/>
        <w:left w:val="none" w:sz="0" w:space="0" w:color="auto"/>
        <w:bottom w:val="none" w:sz="0" w:space="0" w:color="auto"/>
        <w:right w:val="none" w:sz="0" w:space="0" w:color="auto"/>
      </w:divBdr>
    </w:div>
    <w:div w:id="1668628891">
      <w:bodyDiv w:val="1"/>
      <w:marLeft w:val="0"/>
      <w:marRight w:val="0"/>
      <w:marTop w:val="0"/>
      <w:marBottom w:val="0"/>
      <w:divBdr>
        <w:top w:val="none" w:sz="0" w:space="0" w:color="auto"/>
        <w:left w:val="none" w:sz="0" w:space="0" w:color="auto"/>
        <w:bottom w:val="none" w:sz="0" w:space="0" w:color="auto"/>
        <w:right w:val="none" w:sz="0" w:space="0" w:color="auto"/>
      </w:divBdr>
    </w:div>
    <w:div w:id="1720320085">
      <w:bodyDiv w:val="1"/>
      <w:marLeft w:val="0"/>
      <w:marRight w:val="0"/>
      <w:marTop w:val="0"/>
      <w:marBottom w:val="0"/>
      <w:divBdr>
        <w:top w:val="none" w:sz="0" w:space="0" w:color="auto"/>
        <w:left w:val="none" w:sz="0" w:space="0" w:color="auto"/>
        <w:bottom w:val="none" w:sz="0" w:space="0" w:color="auto"/>
        <w:right w:val="none" w:sz="0" w:space="0" w:color="auto"/>
      </w:divBdr>
    </w:div>
    <w:div w:id="1727531863">
      <w:bodyDiv w:val="1"/>
      <w:marLeft w:val="0"/>
      <w:marRight w:val="0"/>
      <w:marTop w:val="0"/>
      <w:marBottom w:val="0"/>
      <w:divBdr>
        <w:top w:val="none" w:sz="0" w:space="0" w:color="auto"/>
        <w:left w:val="none" w:sz="0" w:space="0" w:color="auto"/>
        <w:bottom w:val="none" w:sz="0" w:space="0" w:color="auto"/>
        <w:right w:val="none" w:sz="0" w:space="0" w:color="auto"/>
      </w:divBdr>
    </w:div>
    <w:div w:id="1765880901">
      <w:bodyDiv w:val="1"/>
      <w:marLeft w:val="0"/>
      <w:marRight w:val="0"/>
      <w:marTop w:val="0"/>
      <w:marBottom w:val="0"/>
      <w:divBdr>
        <w:top w:val="none" w:sz="0" w:space="0" w:color="auto"/>
        <w:left w:val="none" w:sz="0" w:space="0" w:color="auto"/>
        <w:bottom w:val="none" w:sz="0" w:space="0" w:color="auto"/>
        <w:right w:val="none" w:sz="0" w:space="0" w:color="auto"/>
      </w:divBdr>
    </w:div>
    <w:div w:id="1772236451">
      <w:bodyDiv w:val="1"/>
      <w:marLeft w:val="0"/>
      <w:marRight w:val="0"/>
      <w:marTop w:val="0"/>
      <w:marBottom w:val="0"/>
      <w:divBdr>
        <w:top w:val="none" w:sz="0" w:space="0" w:color="auto"/>
        <w:left w:val="none" w:sz="0" w:space="0" w:color="auto"/>
        <w:bottom w:val="none" w:sz="0" w:space="0" w:color="auto"/>
        <w:right w:val="none" w:sz="0" w:space="0" w:color="auto"/>
      </w:divBdr>
    </w:div>
    <w:div w:id="1786344252">
      <w:bodyDiv w:val="1"/>
      <w:marLeft w:val="0"/>
      <w:marRight w:val="0"/>
      <w:marTop w:val="0"/>
      <w:marBottom w:val="0"/>
      <w:divBdr>
        <w:top w:val="none" w:sz="0" w:space="0" w:color="auto"/>
        <w:left w:val="none" w:sz="0" w:space="0" w:color="auto"/>
        <w:bottom w:val="none" w:sz="0" w:space="0" w:color="auto"/>
        <w:right w:val="none" w:sz="0" w:space="0" w:color="auto"/>
      </w:divBdr>
    </w:div>
    <w:div w:id="1825467116">
      <w:bodyDiv w:val="1"/>
      <w:marLeft w:val="0"/>
      <w:marRight w:val="0"/>
      <w:marTop w:val="0"/>
      <w:marBottom w:val="0"/>
      <w:divBdr>
        <w:top w:val="none" w:sz="0" w:space="0" w:color="auto"/>
        <w:left w:val="none" w:sz="0" w:space="0" w:color="auto"/>
        <w:bottom w:val="none" w:sz="0" w:space="0" w:color="auto"/>
        <w:right w:val="none" w:sz="0" w:space="0" w:color="auto"/>
      </w:divBdr>
    </w:div>
    <w:div w:id="1891457769">
      <w:bodyDiv w:val="1"/>
      <w:marLeft w:val="0"/>
      <w:marRight w:val="0"/>
      <w:marTop w:val="0"/>
      <w:marBottom w:val="0"/>
      <w:divBdr>
        <w:top w:val="none" w:sz="0" w:space="0" w:color="auto"/>
        <w:left w:val="none" w:sz="0" w:space="0" w:color="auto"/>
        <w:bottom w:val="none" w:sz="0" w:space="0" w:color="auto"/>
        <w:right w:val="none" w:sz="0" w:space="0" w:color="auto"/>
      </w:divBdr>
    </w:div>
    <w:div w:id="1906069030">
      <w:bodyDiv w:val="1"/>
      <w:marLeft w:val="0"/>
      <w:marRight w:val="0"/>
      <w:marTop w:val="0"/>
      <w:marBottom w:val="0"/>
      <w:divBdr>
        <w:top w:val="none" w:sz="0" w:space="0" w:color="auto"/>
        <w:left w:val="none" w:sz="0" w:space="0" w:color="auto"/>
        <w:bottom w:val="none" w:sz="0" w:space="0" w:color="auto"/>
        <w:right w:val="none" w:sz="0" w:space="0" w:color="auto"/>
      </w:divBdr>
    </w:div>
    <w:div w:id="1927684575">
      <w:bodyDiv w:val="1"/>
      <w:marLeft w:val="0"/>
      <w:marRight w:val="0"/>
      <w:marTop w:val="0"/>
      <w:marBottom w:val="0"/>
      <w:divBdr>
        <w:top w:val="none" w:sz="0" w:space="0" w:color="auto"/>
        <w:left w:val="none" w:sz="0" w:space="0" w:color="auto"/>
        <w:bottom w:val="none" w:sz="0" w:space="0" w:color="auto"/>
        <w:right w:val="none" w:sz="0" w:space="0" w:color="auto"/>
      </w:divBdr>
    </w:div>
    <w:div w:id="1929654912">
      <w:bodyDiv w:val="1"/>
      <w:marLeft w:val="0"/>
      <w:marRight w:val="0"/>
      <w:marTop w:val="0"/>
      <w:marBottom w:val="0"/>
      <w:divBdr>
        <w:top w:val="none" w:sz="0" w:space="0" w:color="auto"/>
        <w:left w:val="none" w:sz="0" w:space="0" w:color="auto"/>
        <w:bottom w:val="none" w:sz="0" w:space="0" w:color="auto"/>
        <w:right w:val="none" w:sz="0" w:space="0" w:color="auto"/>
      </w:divBdr>
    </w:div>
    <w:div w:id="2031686281">
      <w:bodyDiv w:val="1"/>
      <w:marLeft w:val="0"/>
      <w:marRight w:val="0"/>
      <w:marTop w:val="0"/>
      <w:marBottom w:val="0"/>
      <w:divBdr>
        <w:top w:val="none" w:sz="0" w:space="0" w:color="auto"/>
        <w:left w:val="none" w:sz="0" w:space="0" w:color="auto"/>
        <w:bottom w:val="none" w:sz="0" w:space="0" w:color="auto"/>
        <w:right w:val="none" w:sz="0" w:space="0" w:color="auto"/>
      </w:divBdr>
    </w:div>
    <w:div w:id="204219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9.xml"/></Relationships>
</file>

<file path=word/_rels/header5.xml.rels><?xml version="1.0" encoding="UTF-8" standalone="yes"?>
<Relationships xmlns="http://schemas.openxmlformats.org/package/2006/relationships"><Relationship Id="rId3" Type="http://schemas.openxmlformats.org/officeDocument/2006/relationships/hyperlink" Target="http://www.ey.com/russia" TargetMode="External"/><Relationship Id="rId2" Type="http://schemas.openxmlformats.org/officeDocument/2006/relationships/image" Target="media/image2.wmf"/><Relationship Id="rId1" Type="http://schemas.openxmlformats.org/officeDocument/2006/relationships/hyperlink" Target="http://www.ey.com/russia" TargetMode="External"/><Relationship Id="rId4" Type="http://schemas.openxmlformats.org/officeDocument/2006/relationships/image" Target="media/image3.wmf"/></Relationships>
</file>

<file path=word/_rels/header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17E48F-1C43-44B1-B057-E8203AD1C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17628</Words>
  <Characters>100482</Characters>
  <Application>Microsoft Office Word</Application>
  <DocSecurity>0</DocSecurity>
  <Lines>837</Lines>
  <Paragraphs>235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JSC “RED OCTOBER”</vt:lpstr>
      <vt:lpstr>JSC “RED OCTOBER”</vt:lpstr>
    </vt:vector>
  </TitlesOfParts>
  <Company>Ernst &amp; Young</Company>
  <LinksUpToDate>false</LinksUpToDate>
  <CharactersWithSpaces>117875</CharactersWithSpaces>
  <SharedDoc>false</SharedDoc>
  <HLinks>
    <vt:vector size="138" baseType="variant">
      <vt:variant>
        <vt:i4>1048625</vt:i4>
      </vt:variant>
      <vt:variant>
        <vt:i4>134</vt:i4>
      </vt:variant>
      <vt:variant>
        <vt:i4>0</vt:i4>
      </vt:variant>
      <vt:variant>
        <vt:i4>5</vt:i4>
      </vt:variant>
      <vt:variant>
        <vt:lpwstr/>
      </vt:variant>
      <vt:variant>
        <vt:lpwstr>_Toc450761349</vt:lpwstr>
      </vt:variant>
      <vt:variant>
        <vt:i4>1048625</vt:i4>
      </vt:variant>
      <vt:variant>
        <vt:i4>128</vt:i4>
      </vt:variant>
      <vt:variant>
        <vt:i4>0</vt:i4>
      </vt:variant>
      <vt:variant>
        <vt:i4>5</vt:i4>
      </vt:variant>
      <vt:variant>
        <vt:lpwstr/>
      </vt:variant>
      <vt:variant>
        <vt:lpwstr>_Toc450761348</vt:lpwstr>
      </vt:variant>
      <vt:variant>
        <vt:i4>1048625</vt:i4>
      </vt:variant>
      <vt:variant>
        <vt:i4>122</vt:i4>
      </vt:variant>
      <vt:variant>
        <vt:i4>0</vt:i4>
      </vt:variant>
      <vt:variant>
        <vt:i4>5</vt:i4>
      </vt:variant>
      <vt:variant>
        <vt:lpwstr/>
      </vt:variant>
      <vt:variant>
        <vt:lpwstr>_Toc450761347</vt:lpwstr>
      </vt:variant>
      <vt:variant>
        <vt:i4>1048625</vt:i4>
      </vt:variant>
      <vt:variant>
        <vt:i4>116</vt:i4>
      </vt:variant>
      <vt:variant>
        <vt:i4>0</vt:i4>
      </vt:variant>
      <vt:variant>
        <vt:i4>5</vt:i4>
      </vt:variant>
      <vt:variant>
        <vt:lpwstr/>
      </vt:variant>
      <vt:variant>
        <vt:lpwstr>_Toc450761346</vt:lpwstr>
      </vt:variant>
      <vt:variant>
        <vt:i4>1048625</vt:i4>
      </vt:variant>
      <vt:variant>
        <vt:i4>110</vt:i4>
      </vt:variant>
      <vt:variant>
        <vt:i4>0</vt:i4>
      </vt:variant>
      <vt:variant>
        <vt:i4>5</vt:i4>
      </vt:variant>
      <vt:variant>
        <vt:lpwstr/>
      </vt:variant>
      <vt:variant>
        <vt:lpwstr>_Toc450761345</vt:lpwstr>
      </vt:variant>
      <vt:variant>
        <vt:i4>1048625</vt:i4>
      </vt:variant>
      <vt:variant>
        <vt:i4>104</vt:i4>
      </vt:variant>
      <vt:variant>
        <vt:i4>0</vt:i4>
      </vt:variant>
      <vt:variant>
        <vt:i4>5</vt:i4>
      </vt:variant>
      <vt:variant>
        <vt:lpwstr/>
      </vt:variant>
      <vt:variant>
        <vt:lpwstr>_Toc450761344</vt:lpwstr>
      </vt:variant>
      <vt:variant>
        <vt:i4>1048625</vt:i4>
      </vt:variant>
      <vt:variant>
        <vt:i4>98</vt:i4>
      </vt:variant>
      <vt:variant>
        <vt:i4>0</vt:i4>
      </vt:variant>
      <vt:variant>
        <vt:i4>5</vt:i4>
      </vt:variant>
      <vt:variant>
        <vt:lpwstr/>
      </vt:variant>
      <vt:variant>
        <vt:lpwstr>_Toc450761343</vt:lpwstr>
      </vt:variant>
      <vt:variant>
        <vt:i4>1048625</vt:i4>
      </vt:variant>
      <vt:variant>
        <vt:i4>92</vt:i4>
      </vt:variant>
      <vt:variant>
        <vt:i4>0</vt:i4>
      </vt:variant>
      <vt:variant>
        <vt:i4>5</vt:i4>
      </vt:variant>
      <vt:variant>
        <vt:lpwstr/>
      </vt:variant>
      <vt:variant>
        <vt:lpwstr>_Toc450761342</vt:lpwstr>
      </vt:variant>
      <vt:variant>
        <vt:i4>1048625</vt:i4>
      </vt:variant>
      <vt:variant>
        <vt:i4>86</vt:i4>
      </vt:variant>
      <vt:variant>
        <vt:i4>0</vt:i4>
      </vt:variant>
      <vt:variant>
        <vt:i4>5</vt:i4>
      </vt:variant>
      <vt:variant>
        <vt:lpwstr/>
      </vt:variant>
      <vt:variant>
        <vt:lpwstr>_Toc450761341</vt:lpwstr>
      </vt:variant>
      <vt:variant>
        <vt:i4>1048625</vt:i4>
      </vt:variant>
      <vt:variant>
        <vt:i4>80</vt:i4>
      </vt:variant>
      <vt:variant>
        <vt:i4>0</vt:i4>
      </vt:variant>
      <vt:variant>
        <vt:i4>5</vt:i4>
      </vt:variant>
      <vt:variant>
        <vt:lpwstr/>
      </vt:variant>
      <vt:variant>
        <vt:lpwstr>_Toc450761340</vt:lpwstr>
      </vt:variant>
      <vt:variant>
        <vt:i4>1507377</vt:i4>
      </vt:variant>
      <vt:variant>
        <vt:i4>74</vt:i4>
      </vt:variant>
      <vt:variant>
        <vt:i4>0</vt:i4>
      </vt:variant>
      <vt:variant>
        <vt:i4>5</vt:i4>
      </vt:variant>
      <vt:variant>
        <vt:lpwstr/>
      </vt:variant>
      <vt:variant>
        <vt:lpwstr>_Toc450761339</vt:lpwstr>
      </vt:variant>
      <vt:variant>
        <vt:i4>1507377</vt:i4>
      </vt:variant>
      <vt:variant>
        <vt:i4>68</vt:i4>
      </vt:variant>
      <vt:variant>
        <vt:i4>0</vt:i4>
      </vt:variant>
      <vt:variant>
        <vt:i4>5</vt:i4>
      </vt:variant>
      <vt:variant>
        <vt:lpwstr/>
      </vt:variant>
      <vt:variant>
        <vt:lpwstr>_Toc450761338</vt:lpwstr>
      </vt:variant>
      <vt:variant>
        <vt:i4>1507377</vt:i4>
      </vt:variant>
      <vt:variant>
        <vt:i4>62</vt:i4>
      </vt:variant>
      <vt:variant>
        <vt:i4>0</vt:i4>
      </vt:variant>
      <vt:variant>
        <vt:i4>5</vt:i4>
      </vt:variant>
      <vt:variant>
        <vt:lpwstr/>
      </vt:variant>
      <vt:variant>
        <vt:lpwstr>_Toc450761337</vt:lpwstr>
      </vt:variant>
      <vt:variant>
        <vt:i4>1507377</vt:i4>
      </vt:variant>
      <vt:variant>
        <vt:i4>56</vt:i4>
      </vt:variant>
      <vt:variant>
        <vt:i4>0</vt:i4>
      </vt:variant>
      <vt:variant>
        <vt:i4>5</vt:i4>
      </vt:variant>
      <vt:variant>
        <vt:lpwstr/>
      </vt:variant>
      <vt:variant>
        <vt:lpwstr>_Toc450761336</vt:lpwstr>
      </vt:variant>
      <vt:variant>
        <vt:i4>1507377</vt:i4>
      </vt:variant>
      <vt:variant>
        <vt:i4>50</vt:i4>
      </vt:variant>
      <vt:variant>
        <vt:i4>0</vt:i4>
      </vt:variant>
      <vt:variant>
        <vt:i4>5</vt:i4>
      </vt:variant>
      <vt:variant>
        <vt:lpwstr/>
      </vt:variant>
      <vt:variant>
        <vt:lpwstr>_Toc450761335</vt:lpwstr>
      </vt:variant>
      <vt:variant>
        <vt:i4>1507377</vt:i4>
      </vt:variant>
      <vt:variant>
        <vt:i4>44</vt:i4>
      </vt:variant>
      <vt:variant>
        <vt:i4>0</vt:i4>
      </vt:variant>
      <vt:variant>
        <vt:i4>5</vt:i4>
      </vt:variant>
      <vt:variant>
        <vt:lpwstr/>
      </vt:variant>
      <vt:variant>
        <vt:lpwstr>_Toc450761334</vt:lpwstr>
      </vt:variant>
      <vt:variant>
        <vt:i4>1507377</vt:i4>
      </vt:variant>
      <vt:variant>
        <vt:i4>38</vt:i4>
      </vt:variant>
      <vt:variant>
        <vt:i4>0</vt:i4>
      </vt:variant>
      <vt:variant>
        <vt:i4>5</vt:i4>
      </vt:variant>
      <vt:variant>
        <vt:lpwstr/>
      </vt:variant>
      <vt:variant>
        <vt:lpwstr>_Toc450761333</vt:lpwstr>
      </vt:variant>
      <vt:variant>
        <vt:i4>1507377</vt:i4>
      </vt:variant>
      <vt:variant>
        <vt:i4>32</vt:i4>
      </vt:variant>
      <vt:variant>
        <vt:i4>0</vt:i4>
      </vt:variant>
      <vt:variant>
        <vt:i4>5</vt:i4>
      </vt:variant>
      <vt:variant>
        <vt:lpwstr/>
      </vt:variant>
      <vt:variant>
        <vt:lpwstr>_Toc450761332</vt:lpwstr>
      </vt:variant>
      <vt:variant>
        <vt:i4>1507377</vt:i4>
      </vt:variant>
      <vt:variant>
        <vt:i4>26</vt:i4>
      </vt:variant>
      <vt:variant>
        <vt:i4>0</vt:i4>
      </vt:variant>
      <vt:variant>
        <vt:i4>5</vt:i4>
      </vt:variant>
      <vt:variant>
        <vt:lpwstr/>
      </vt:variant>
      <vt:variant>
        <vt:lpwstr>_Toc450761332</vt:lpwstr>
      </vt:variant>
      <vt:variant>
        <vt:i4>1507377</vt:i4>
      </vt:variant>
      <vt:variant>
        <vt:i4>20</vt:i4>
      </vt:variant>
      <vt:variant>
        <vt:i4>0</vt:i4>
      </vt:variant>
      <vt:variant>
        <vt:i4>5</vt:i4>
      </vt:variant>
      <vt:variant>
        <vt:lpwstr/>
      </vt:variant>
      <vt:variant>
        <vt:lpwstr>_Toc450761331</vt:lpwstr>
      </vt:variant>
      <vt:variant>
        <vt:i4>1507377</vt:i4>
      </vt:variant>
      <vt:variant>
        <vt:i4>14</vt:i4>
      </vt:variant>
      <vt:variant>
        <vt:i4>0</vt:i4>
      </vt:variant>
      <vt:variant>
        <vt:i4>5</vt:i4>
      </vt:variant>
      <vt:variant>
        <vt:lpwstr/>
      </vt:variant>
      <vt:variant>
        <vt:lpwstr>_Toc450761330</vt:lpwstr>
      </vt:variant>
      <vt:variant>
        <vt:i4>1441841</vt:i4>
      </vt:variant>
      <vt:variant>
        <vt:i4>8</vt:i4>
      </vt:variant>
      <vt:variant>
        <vt:i4>0</vt:i4>
      </vt:variant>
      <vt:variant>
        <vt:i4>5</vt:i4>
      </vt:variant>
      <vt:variant>
        <vt:lpwstr/>
      </vt:variant>
      <vt:variant>
        <vt:lpwstr>_Toc450761329</vt:lpwstr>
      </vt:variant>
      <vt:variant>
        <vt:i4>1441841</vt:i4>
      </vt:variant>
      <vt:variant>
        <vt:i4>2</vt:i4>
      </vt:variant>
      <vt:variant>
        <vt:i4>0</vt:i4>
      </vt:variant>
      <vt:variant>
        <vt:i4>5</vt:i4>
      </vt:variant>
      <vt:variant>
        <vt:lpwstr/>
      </vt:variant>
      <vt:variant>
        <vt:lpwstr>_Toc450761328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JSC “RED OCTOBER”</dc:title>
  <dc:creator>Alexander.Khorovitch</dc:creator>
  <cp:lastModifiedBy>Olga Eliseeva</cp:lastModifiedBy>
  <cp:revision>2</cp:revision>
  <cp:lastPrinted>2018-04-27T19:35:00Z</cp:lastPrinted>
  <dcterms:created xsi:type="dcterms:W3CDTF">2018-04-27T19:36:00Z</dcterms:created>
  <dcterms:modified xsi:type="dcterms:W3CDTF">2018-04-27T19:36:00Z</dcterms:modified>
</cp:coreProperties>
</file>