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Look w:val="00A0" w:firstRow="1" w:lastRow="0" w:firstColumn="1" w:lastColumn="0" w:noHBand="0" w:noVBand="0"/>
      </w:tblPr>
      <w:tblGrid>
        <w:gridCol w:w="8897"/>
        <w:gridCol w:w="425"/>
      </w:tblGrid>
      <w:tr w:rsidR="00682404" w:rsidRPr="004278D0" w:rsidTr="00763C81">
        <w:tc>
          <w:tcPr>
            <w:tcW w:w="8897" w:type="dxa"/>
            <w:shd w:val="clear" w:color="auto" w:fill="auto"/>
          </w:tcPr>
          <w:p w:rsidR="00682404" w:rsidRPr="00763C81" w:rsidRDefault="00BB0C63" w:rsidP="00763C81">
            <w:pPr>
              <w:pStyle w:val="a3"/>
              <w:spacing w:before="120" w:after="120"/>
              <w:ind w:rightChars="-213" w:right="-511"/>
              <w:rPr>
                <w:rFonts w:ascii="Arial" w:hAnsi="Arial" w:cs="Arial"/>
                <w:b w:val="0"/>
                <w:bCs w:val="0"/>
                <w:caps/>
                <w:spacing w:val="40"/>
                <w:sz w:val="22"/>
                <w:szCs w:val="22"/>
              </w:rPr>
            </w:pPr>
            <w:r>
              <w:rPr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9" type="#_x0000_t136" style="position:absolute;left:0;text-align:left;margin-left:33.5pt;margin-top:5.85pt;width:246pt;height:54pt;z-index:-251658752" wrapcoords="10734 0 1054 0 395 300 198 9600 -66 16500 132 17400 2832 19200 2963 22200 3095 22200 3359 22200 3951 22200 4676 20400 4610 19200 21798 17700 21863 17400 21534 9600 21468 900 20678 0 16727 0 10734 0" fillcolor="#369" stroked="f">
                  <v:shadow on="t" color="#b2b2b2" opacity="52429f" offset="3pt"/>
                  <v:textpath style="font-family:&quot;Times New Roman&quot;;font-size:24pt;v-text-align:right;v-text-kern:t" trim="t" fitpath="t" string="АУДИТ - КОНСТАНТА&#10;"/>
                  <w10:wrap type="tight"/>
                </v:shape>
              </w:pict>
            </w:r>
            <w:r w:rsidR="00682404" w:rsidRPr="00763C81">
              <w:rPr>
                <w:rFonts w:ascii="Arial" w:hAnsi="Arial" w:cs="Arial"/>
                <w:b w:val="0"/>
                <w:bCs w:val="0"/>
                <w:caps/>
                <w:spacing w:val="40"/>
                <w:szCs w:val="24"/>
              </w:rPr>
              <w:t xml:space="preserve">    </w:t>
            </w:r>
            <w:r w:rsidR="00682404" w:rsidRPr="00763C81">
              <w:rPr>
                <w:rFonts w:ascii="Arial" w:hAnsi="Arial" w:cs="Arial"/>
                <w:b w:val="0"/>
                <w:bCs w:val="0"/>
                <w:caps/>
                <w:spacing w:val="40"/>
                <w:sz w:val="28"/>
                <w:szCs w:val="28"/>
              </w:rPr>
              <w:t>закрытое акционерное</w:t>
            </w:r>
            <w:r w:rsidR="00682404" w:rsidRPr="00763C81">
              <w:rPr>
                <w:rFonts w:ascii="Arial" w:hAnsi="Arial" w:cs="Arial"/>
                <w:b w:val="0"/>
                <w:bCs w:val="0"/>
                <w:caps/>
                <w:spacing w:val="40"/>
                <w:szCs w:val="24"/>
              </w:rPr>
              <w:t xml:space="preserve"> </w:t>
            </w:r>
            <w:r w:rsidR="00682404" w:rsidRPr="00763C81">
              <w:rPr>
                <w:rFonts w:ascii="Arial" w:hAnsi="Arial" w:cs="Arial"/>
                <w:b w:val="0"/>
                <w:bCs w:val="0"/>
                <w:caps/>
                <w:spacing w:val="40"/>
                <w:sz w:val="28"/>
                <w:szCs w:val="28"/>
              </w:rPr>
              <w:t>оБЩЕСТВО</w:t>
            </w:r>
            <w:r w:rsidR="00682404" w:rsidRPr="00763C81">
              <w:rPr>
                <w:rFonts w:ascii="Arial" w:hAnsi="Arial" w:cs="Arial"/>
                <w:b w:val="0"/>
                <w:bCs w:val="0"/>
                <w:caps/>
                <w:spacing w:val="40"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  <w:shd w:val="clear" w:color="auto" w:fill="auto"/>
          </w:tcPr>
          <w:p w:rsidR="00682404" w:rsidRPr="00763C81" w:rsidRDefault="00682404" w:rsidP="00763C81">
            <w:pPr>
              <w:pStyle w:val="a3"/>
              <w:ind w:right="-1"/>
              <w:jc w:val="right"/>
              <w:rPr>
                <w:rFonts w:ascii="Arial" w:hAnsi="Arial" w:cs="Arial"/>
                <w:b w:val="0"/>
                <w:bCs w:val="0"/>
                <w:i/>
                <w:caps/>
                <w:spacing w:val="64"/>
                <w:szCs w:val="24"/>
              </w:rPr>
            </w:pPr>
          </w:p>
        </w:tc>
      </w:tr>
    </w:tbl>
    <w:p w:rsidR="00682404" w:rsidRPr="004278D0" w:rsidRDefault="00682404" w:rsidP="00643FD2">
      <w:pPr>
        <w:pBdr>
          <w:bottom w:val="thinThickThinSmallGap" w:sz="24" w:space="0" w:color="auto"/>
        </w:pBdr>
        <w:ind w:rightChars="-40" w:right="-96"/>
        <w:jc w:val="center"/>
        <w:rPr>
          <w:rFonts w:ascii="Arial" w:hAnsi="Arial" w:cs="Arial"/>
          <w:bCs/>
          <w:sz w:val="8"/>
        </w:rPr>
      </w:pPr>
    </w:p>
    <w:p w:rsidR="00682404" w:rsidRPr="004278D0" w:rsidRDefault="00682404" w:rsidP="00643FD2">
      <w:pPr>
        <w:ind w:rightChars="-40" w:right="-96"/>
        <w:jc w:val="center"/>
        <w:rPr>
          <w:rFonts w:ascii="Arial" w:hAnsi="Arial" w:cs="Arial"/>
          <w:bCs/>
          <w:sz w:val="6"/>
        </w:rPr>
      </w:pPr>
    </w:p>
    <w:p w:rsidR="00BE18AD" w:rsidRDefault="00BE18AD" w:rsidP="00BE18AD">
      <w:pPr>
        <w:spacing w:before="60"/>
        <w:ind w:right="-7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109012, г. Москва, ул. Пушечная, д. 4, стр. 3, т.</w:t>
      </w:r>
      <w:r w:rsidR="000E4B0A">
        <w:rPr>
          <w:b/>
          <w:sz w:val="18"/>
          <w:szCs w:val="18"/>
        </w:rPr>
        <w:t xml:space="preserve"> 8(495)</w:t>
      </w:r>
      <w:r>
        <w:rPr>
          <w:b/>
          <w:sz w:val="18"/>
          <w:szCs w:val="18"/>
        </w:rPr>
        <w:t xml:space="preserve">620-86-25, ф. </w:t>
      </w:r>
      <w:r w:rsidR="000E4B0A">
        <w:rPr>
          <w:b/>
          <w:sz w:val="18"/>
          <w:szCs w:val="18"/>
        </w:rPr>
        <w:t>8(495)</w:t>
      </w:r>
      <w:r>
        <w:rPr>
          <w:b/>
          <w:sz w:val="18"/>
          <w:szCs w:val="18"/>
        </w:rPr>
        <w:t>620-86-73, ИНН 7710043675, КПП 770201001</w:t>
      </w:r>
    </w:p>
    <w:p w:rsidR="00BE18AD" w:rsidRDefault="00BE18AD" w:rsidP="00BE18AD">
      <w:pPr>
        <w:spacing w:before="60"/>
        <w:ind w:right="-7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________________________________________________________________________________________________________</w:t>
      </w:r>
    </w:p>
    <w:p w:rsidR="00682404" w:rsidRDefault="00682404" w:rsidP="00682404">
      <w:pPr>
        <w:jc w:val="center"/>
        <w:rPr>
          <w:b/>
        </w:rPr>
      </w:pPr>
    </w:p>
    <w:p w:rsidR="00B26B3F" w:rsidRDefault="00B26B3F" w:rsidP="00682404">
      <w:pPr>
        <w:jc w:val="center"/>
        <w:rPr>
          <w:b/>
        </w:rPr>
      </w:pPr>
    </w:p>
    <w:p w:rsidR="008518AD" w:rsidRPr="00DB5817" w:rsidRDefault="008518AD" w:rsidP="008518AD">
      <w:pPr>
        <w:jc w:val="center"/>
        <w:rPr>
          <w:b/>
          <w:sz w:val="32"/>
          <w:szCs w:val="32"/>
        </w:rPr>
      </w:pPr>
      <w:r w:rsidRPr="00DB5817">
        <w:rPr>
          <w:b/>
          <w:sz w:val="32"/>
          <w:szCs w:val="32"/>
        </w:rPr>
        <w:t>АУДИТОРСКОЕ ЗАКЛЮЧЕНИЕ</w:t>
      </w:r>
    </w:p>
    <w:p w:rsidR="008518AD" w:rsidRDefault="008518AD" w:rsidP="008518AD">
      <w:pPr>
        <w:rPr>
          <w:sz w:val="22"/>
        </w:rPr>
      </w:pPr>
    </w:p>
    <w:p w:rsidR="00B26B3F" w:rsidRDefault="00B26B3F" w:rsidP="008518AD">
      <w:pPr>
        <w:rPr>
          <w:sz w:val="22"/>
        </w:rPr>
      </w:pPr>
    </w:p>
    <w:p w:rsidR="008518AD" w:rsidRPr="00DB42F8" w:rsidRDefault="008518AD" w:rsidP="008518AD">
      <w:pPr>
        <w:jc w:val="center"/>
        <w:rPr>
          <w:b/>
          <w:sz w:val="28"/>
          <w:szCs w:val="28"/>
        </w:rPr>
      </w:pPr>
      <w:r w:rsidRPr="00DB42F8">
        <w:rPr>
          <w:b/>
          <w:sz w:val="28"/>
          <w:szCs w:val="28"/>
        </w:rPr>
        <w:t xml:space="preserve">Акционерам </w:t>
      </w:r>
      <w:r w:rsidR="00A61591">
        <w:rPr>
          <w:b/>
          <w:sz w:val="28"/>
          <w:szCs w:val="28"/>
        </w:rPr>
        <w:t>Публичного</w:t>
      </w:r>
      <w:r w:rsidRPr="00DB42F8">
        <w:rPr>
          <w:b/>
          <w:sz w:val="28"/>
          <w:szCs w:val="28"/>
        </w:rPr>
        <w:t xml:space="preserve"> акционерного общества </w:t>
      </w:r>
    </w:p>
    <w:p w:rsidR="008518AD" w:rsidRPr="00DB42F8" w:rsidRDefault="008518AD" w:rsidP="008518AD">
      <w:pPr>
        <w:jc w:val="center"/>
        <w:rPr>
          <w:b/>
          <w:sz w:val="28"/>
          <w:szCs w:val="28"/>
        </w:rPr>
      </w:pPr>
      <w:r w:rsidRPr="00DB42F8">
        <w:rPr>
          <w:b/>
          <w:sz w:val="28"/>
          <w:szCs w:val="28"/>
        </w:rPr>
        <w:t>«</w:t>
      </w:r>
      <w:r w:rsidR="00A61591">
        <w:rPr>
          <w:b/>
          <w:sz w:val="28"/>
          <w:szCs w:val="28"/>
        </w:rPr>
        <w:t>Красный Октябрь</w:t>
      </w:r>
      <w:r w:rsidRPr="00DB42F8">
        <w:rPr>
          <w:b/>
          <w:sz w:val="28"/>
          <w:szCs w:val="28"/>
        </w:rPr>
        <w:t>»</w:t>
      </w:r>
    </w:p>
    <w:p w:rsidR="00FE3D56" w:rsidRDefault="00FE3D56" w:rsidP="00B9286A">
      <w:pPr>
        <w:pStyle w:val="ConsPlusNormal"/>
        <w:jc w:val="center"/>
        <w:rPr>
          <w:rFonts w:ascii="Times New Roman" w:hAnsi="Times New Roman" w:cs="Times New Roman"/>
        </w:rPr>
      </w:pPr>
      <w:r w:rsidRPr="00CC36D4">
        <w:rPr>
          <w:rFonts w:ascii="Times New Roman" w:hAnsi="Times New Roman" w:cs="Times New Roman"/>
        </w:rPr>
        <w:t xml:space="preserve"> </w:t>
      </w:r>
    </w:p>
    <w:p w:rsidR="00B26B3F" w:rsidRPr="00CC36D4" w:rsidRDefault="00B26B3F" w:rsidP="00FE3D56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p w:rsidR="008518AD" w:rsidRPr="008518AD" w:rsidRDefault="008518AD" w:rsidP="008518AD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6"/>
      <w:bookmarkEnd w:id="0"/>
      <w:r w:rsidRPr="008518AD">
        <w:rPr>
          <w:rFonts w:ascii="Times New Roman" w:hAnsi="Times New Roman" w:cs="Times New Roman"/>
        </w:rPr>
        <w:t>МНЕНИЕ</w:t>
      </w:r>
      <w:r w:rsidR="00C508ED">
        <w:rPr>
          <w:rFonts w:ascii="Times New Roman" w:hAnsi="Times New Roman" w:cs="Times New Roman"/>
        </w:rPr>
        <w:t xml:space="preserve"> С ОГОВОРКОЙ</w:t>
      </w:r>
      <w:r w:rsidRPr="008518AD">
        <w:rPr>
          <w:rFonts w:ascii="Times New Roman" w:hAnsi="Times New Roman" w:cs="Times New Roman"/>
        </w:rPr>
        <w:t xml:space="preserve"> </w:t>
      </w:r>
    </w:p>
    <w:p w:rsidR="008518AD" w:rsidRPr="00696242" w:rsidRDefault="008518AD" w:rsidP="008518AD">
      <w:pPr>
        <w:pStyle w:val="ConsPlusNormal"/>
        <w:ind w:firstLine="540"/>
        <w:jc w:val="both"/>
        <w:rPr>
          <w:rFonts w:ascii="Times New Roman" w:hAnsi="Times New Roman" w:cs="Times New Roman"/>
          <w:b w:val="0"/>
          <w:i/>
        </w:rPr>
      </w:pPr>
      <w:proofErr w:type="gramStart"/>
      <w:r w:rsidRPr="008518AD">
        <w:rPr>
          <w:rFonts w:ascii="Times New Roman" w:hAnsi="Times New Roman" w:cs="Times New Roman"/>
          <w:b w:val="0"/>
        </w:rPr>
        <w:t>Мы провели аудит прилагаемой годовой бухгалтерской</w:t>
      </w:r>
      <w:r>
        <w:rPr>
          <w:rFonts w:ascii="Times New Roman" w:hAnsi="Times New Roman" w:cs="Times New Roman"/>
          <w:b w:val="0"/>
        </w:rPr>
        <w:t xml:space="preserve"> (финансовой)</w:t>
      </w:r>
      <w:r w:rsidRPr="008518AD">
        <w:rPr>
          <w:rFonts w:ascii="Times New Roman" w:hAnsi="Times New Roman" w:cs="Times New Roman"/>
          <w:b w:val="0"/>
        </w:rPr>
        <w:t xml:space="preserve"> отчетности</w:t>
      </w:r>
      <w:r>
        <w:rPr>
          <w:rFonts w:ascii="Times New Roman" w:hAnsi="Times New Roman" w:cs="Times New Roman"/>
          <w:b w:val="0"/>
        </w:rPr>
        <w:t xml:space="preserve"> </w:t>
      </w:r>
      <w:r w:rsidR="00A61591">
        <w:rPr>
          <w:rFonts w:ascii="Times New Roman" w:hAnsi="Times New Roman" w:cs="Times New Roman"/>
          <w:b w:val="0"/>
        </w:rPr>
        <w:t>Публичного</w:t>
      </w:r>
      <w:r w:rsidR="006C1BEF">
        <w:rPr>
          <w:rFonts w:ascii="Times New Roman" w:hAnsi="Times New Roman" w:cs="Times New Roman"/>
          <w:b w:val="0"/>
        </w:rPr>
        <w:t xml:space="preserve"> акционерного общества</w:t>
      </w:r>
      <w:r>
        <w:rPr>
          <w:rFonts w:ascii="Times New Roman" w:hAnsi="Times New Roman" w:cs="Times New Roman"/>
          <w:b w:val="0"/>
        </w:rPr>
        <w:t xml:space="preserve"> «</w:t>
      </w:r>
      <w:r w:rsidR="00A61591">
        <w:rPr>
          <w:rFonts w:ascii="Times New Roman" w:hAnsi="Times New Roman" w:cs="Times New Roman"/>
          <w:b w:val="0"/>
        </w:rPr>
        <w:t>Красный Октябрь</w:t>
      </w:r>
      <w:r>
        <w:rPr>
          <w:rFonts w:ascii="Times New Roman" w:hAnsi="Times New Roman" w:cs="Times New Roman"/>
          <w:b w:val="0"/>
        </w:rPr>
        <w:t>»</w:t>
      </w:r>
      <w:r w:rsidR="00A61591">
        <w:rPr>
          <w:rFonts w:ascii="Times New Roman" w:hAnsi="Times New Roman" w:cs="Times New Roman"/>
          <w:b w:val="0"/>
        </w:rPr>
        <w:t xml:space="preserve"> (далее – П</w:t>
      </w:r>
      <w:r w:rsidR="006A7640">
        <w:rPr>
          <w:rFonts w:ascii="Times New Roman" w:hAnsi="Times New Roman" w:cs="Times New Roman"/>
          <w:b w:val="0"/>
        </w:rPr>
        <w:t>АО «</w:t>
      </w:r>
      <w:r w:rsidR="00A61591">
        <w:rPr>
          <w:rFonts w:ascii="Times New Roman" w:hAnsi="Times New Roman" w:cs="Times New Roman"/>
          <w:b w:val="0"/>
        </w:rPr>
        <w:t>Красный Октябрь</w:t>
      </w:r>
      <w:r w:rsidR="006A7640">
        <w:rPr>
          <w:rFonts w:ascii="Times New Roman" w:hAnsi="Times New Roman" w:cs="Times New Roman"/>
          <w:b w:val="0"/>
        </w:rPr>
        <w:t>»)</w:t>
      </w:r>
      <w:r w:rsidRPr="008518AD">
        <w:rPr>
          <w:rFonts w:ascii="Times New Roman" w:hAnsi="Times New Roman" w:cs="Times New Roman"/>
          <w:b w:val="0"/>
        </w:rPr>
        <w:t xml:space="preserve">, состоящей из бухгалтерского баланса по состоянию на 31 декабря </w:t>
      </w:r>
      <w:r w:rsidR="00D517CE">
        <w:rPr>
          <w:rFonts w:ascii="Times New Roman" w:hAnsi="Times New Roman" w:cs="Times New Roman"/>
          <w:b w:val="0"/>
        </w:rPr>
        <w:t>2018</w:t>
      </w:r>
      <w:r w:rsidRPr="008518AD">
        <w:rPr>
          <w:rFonts w:ascii="Times New Roman" w:hAnsi="Times New Roman" w:cs="Times New Roman"/>
          <w:b w:val="0"/>
        </w:rPr>
        <w:t xml:space="preserve"> года, отчета о финансовых результатах, приложений к бухгалтерскому балансу и отчету о финансовых результатах, в том числе</w:t>
      </w:r>
      <w:r>
        <w:rPr>
          <w:rFonts w:ascii="Times New Roman" w:hAnsi="Times New Roman" w:cs="Times New Roman"/>
          <w:b w:val="0"/>
        </w:rPr>
        <w:t>,</w:t>
      </w:r>
      <w:r w:rsidRPr="008518AD">
        <w:rPr>
          <w:rFonts w:ascii="Times New Roman" w:hAnsi="Times New Roman" w:cs="Times New Roman"/>
          <w:b w:val="0"/>
        </w:rPr>
        <w:t xml:space="preserve"> отчета об изменениях капитала и отчета о движении денежных средств за </w:t>
      </w:r>
      <w:r w:rsidR="00D517CE">
        <w:rPr>
          <w:rFonts w:ascii="Times New Roman" w:hAnsi="Times New Roman" w:cs="Times New Roman"/>
          <w:b w:val="0"/>
        </w:rPr>
        <w:t>2018</w:t>
      </w:r>
      <w:r w:rsidRPr="008518AD">
        <w:rPr>
          <w:rFonts w:ascii="Times New Roman" w:hAnsi="Times New Roman" w:cs="Times New Roman"/>
          <w:b w:val="0"/>
        </w:rPr>
        <w:t xml:space="preserve"> год, пояснений к бухгалтерскому</w:t>
      </w:r>
      <w:proofErr w:type="gramEnd"/>
      <w:r w:rsidRPr="008518AD">
        <w:rPr>
          <w:rFonts w:ascii="Times New Roman" w:hAnsi="Times New Roman" w:cs="Times New Roman"/>
          <w:b w:val="0"/>
        </w:rPr>
        <w:t xml:space="preserve"> балансу и отчету о финансовых резуль</w:t>
      </w:r>
      <w:r w:rsidR="006C1BEF">
        <w:rPr>
          <w:rFonts w:ascii="Times New Roman" w:hAnsi="Times New Roman" w:cs="Times New Roman"/>
          <w:b w:val="0"/>
        </w:rPr>
        <w:t>татах</w:t>
      </w:r>
      <w:r w:rsidR="00020894">
        <w:rPr>
          <w:rFonts w:ascii="Times New Roman" w:hAnsi="Times New Roman" w:cs="Times New Roman"/>
          <w:b w:val="0"/>
        </w:rPr>
        <w:t>.</w:t>
      </w:r>
      <w:r w:rsidR="006C1BEF">
        <w:rPr>
          <w:rFonts w:ascii="Times New Roman" w:hAnsi="Times New Roman" w:cs="Times New Roman"/>
          <w:b w:val="0"/>
        </w:rPr>
        <w:t xml:space="preserve"> </w:t>
      </w:r>
    </w:p>
    <w:p w:rsidR="008518AD" w:rsidRPr="008518AD" w:rsidRDefault="008518AD" w:rsidP="008518AD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8518AD">
        <w:rPr>
          <w:rFonts w:ascii="Times New Roman" w:hAnsi="Times New Roman" w:cs="Times New Roman"/>
          <w:b w:val="0"/>
        </w:rPr>
        <w:t>По нашему мнению,</w:t>
      </w:r>
      <w:r w:rsidR="00C508ED">
        <w:rPr>
          <w:rFonts w:ascii="Times New Roman" w:hAnsi="Times New Roman" w:cs="Times New Roman"/>
          <w:b w:val="0"/>
        </w:rPr>
        <w:t xml:space="preserve"> за исключением возможного влияния обстоятельств</w:t>
      </w:r>
      <w:r w:rsidR="00A869C9">
        <w:rPr>
          <w:rFonts w:ascii="Times New Roman" w:hAnsi="Times New Roman" w:cs="Times New Roman"/>
          <w:b w:val="0"/>
        </w:rPr>
        <w:t>а</w:t>
      </w:r>
      <w:r w:rsidR="00C508ED">
        <w:rPr>
          <w:rFonts w:ascii="Times New Roman" w:hAnsi="Times New Roman" w:cs="Times New Roman"/>
          <w:b w:val="0"/>
        </w:rPr>
        <w:t>, описанн</w:t>
      </w:r>
      <w:r w:rsidR="00A869C9">
        <w:rPr>
          <w:rFonts w:ascii="Times New Roman" w:hAnsi="Times New Roman" w:cs="Times New Roman"/>
          <w:b w:val="0"/>
        </w:rPr>
        <w:t>ого</w:t>
      </w:r>
      <w:r w:rsidR="00C508ED">
        <w:rPr>
          <w:rFonts w:ascii="Times New Roman" w:hAnsi="Times New Roman" w:cs="Times New Roman"/>
          <w:b w:val="0"/>
        </w:rPr>
        <w:t xml:space="preserve"> в разделе «Основание для выражения мнения с оговоркой</w:t>
      </w:r>
      <w:r w:rsidR="00C508ED" w:rsidRPr="00032E3E">
        <w:rPr>
          <w:rFonts w:ascii="Times New Roman" w:hAnsi="Times New Roman" w:cs="Times New Roman"/>
          <w:b w:val="0"/>
        </w:rPr>
        <w:t>»</w:t>
      </w:r>
      <w:r w:rsidR="00A869C9" w:rsidRPr="00032E3E">
        <w:rPr>
          <w:rFonts w:ascii="Times New Roman" w:hAnsi="Times New Roman" w:cs="Times New Roman"/>
          <w:b w:val="0"/>
        </w:rPr>
        <w:t xml:space="preserve"> нашего заключения</w:t>
      </w:r>
      <w:r w:rsidR="00C508ED" w:rsidRPr="00032E3E">
        <w:rPr>
          <w:rFonts w:ascii="Times New Roman" w:hAnsi="Times New Roman" w:cs="Times New Roman"/>
          <w:b w:val="0"/>
        </w:rPr>
        <w:t>,</w:t>
      </w:r>
      <w:r w:rsidRPr="008518AD">
        <w:rPr>
          <w:rFonts w:ascii="Times New Roman" w:hAnsi="Times New Roman" w:cs="Times New Roman"/>
          <w:b w:val="0"/>
        </w:rPr>
        <w:t xml:space="preserve"> прилагаемая годовая бухгалтерская</w:t>
      </w:r>
      <w:r>
        <w:rPr>
          <w:rFonts w:ascii="Times New Roman" w:hAnsi="Times New Roman" w:cs="Times New Roman"/>
          <w:b w:val="0"/>
        </w:rPr>
        <w:t xml:space="preserve"> (финансовая)</w:t>
      </w:r>
      <w:r w:rsidRPr="008518AD">
        <w:rPr>
          <w:rFonts w:ascii="Times New Roman" w:hAnsi="Times New Roman" w:cs="Times New Roman"/>
          <w:b w:val="0"/>
        </w:rPr>
        <w:t xml:space="preserve"> отчетность отражает достоверно во всех существенных отношениях финансовое положение </w:t>
      </w:r>
      <w:r w:rsidR="00A61591">
        <w:rPr>
          <w:rFonts w:ascii="Times New Roman" w:hAnsi="Times New Roman" w:cs="Times New Roman"/>
          <w:b w:val="0"/>
        </w:rPr>
        <w:t>ПАО «Красный Октябрь»</w:t>
      </w:r>
      <w:r w:rsidR="00EF22FC">
        <w:rPr>
          <w:rFonts w:ascii="Times New Roman" w:hAnsi="Times New Roman" w:cs="Times New Roman"/>
          <w:b w:val="0"/>
        </w:rPr>
        <w:t xml:space="preserve"> </w:t>
      </w:r>
      <w:r w:rsidRPr="008518AD">
        <w:rPr>
          <w:rFonts w:ascii="Times New Roman" w:hAnsi="Times New Roman" w:cs="Times New Roman"/>
          <w:b w:val="0"/>
        </w:rPr>
        <w:t xml:space="preserve">по состоянию на 31 декабря </w:t>
      </w:r>
      <w:r w:rsidR="00D517CE">
        <w:rPr>
          <w:rFonts w:ascii="Times New Roman" w:hAnsi="Times New Roman" w:cs="Times New Roman"/>
          <w:b w:val="0"/>
        </w:rPr>
        <w:t>2018</w:t>
      </w:r>
      <w:r w:rsidRPr="008518AD">
        <w:rPr>
          <w:rFonts w:ascii="Times New Roman" w:hAnsi="Times New Roman" w:cs="Times New Roman"/>
          <w:b w:val="0"/>
        </w:rPr>
        <w:t xml:space="preserve"> года, финансовые результаты его деятельности и движение денежных средств за </w:t>
      </w:r>
      <w:r w:rsidR="00D517CE">
        <w:rPr>
          <w:rFonts w:ascii="Times New Roman" w:hAnsi="Times New Roman" w:cs="Times New Roman"/>
          <w:b w:val="0"/>
        </w:rPr>
        <w:t>2018</w:t>
      </w:r>
      <w:r w:rsidRPr="008518AD">
        <w:rPr>
          <w:rFonts w:ascii="Times New Roman" w:hAnsi="Times New Roman" w:cs="Times New Roman"/>
          <w:b w:val="0"/>
        </w:rPr>
        <w:t xml:space="preserve"> год в соответствии с правилами составления бухгалтерской отчетности, установленными в Российской Федерации.</w:t>
      </w:r>
    </w:p>
    <w:p w:rsidR="008518AD" w:rsidRDefault="008518AD" w:rsidP="008518AD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</w:p>
    <w:p w:rsidR="00D01526" w:rsidRDefault="008518AD" w:rsidP="00D0152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518AD">
        <w:rPr>
          <w:rFonts w:ascii="Times New Roman" w:hAnsi="Times New Roman" w:cs="Times New Roman"/>
        </w:rPr>
        <w:t>ОСНОВАНИЕ ДЛЯ ВЫРАЖЕНИЯ МНЕНИЯ</w:t>
      </w:r>
      <w:r w:rsidR="00C508ED">
        <w:rPr>
          <w:rFonts w:ascii="Times New Roman" w:hAnsi="Times New Roman" w:cs="Times New Roman"/>
        </w:rPr>
        <w:t xml:space="preserve"> С ОГОВОРКОЙ</w:t>
      </w:r>
    </w:p>
    <w:p w:rsidR="00EF4E66" w:rsidRPr="00D01526" w:rsidRDefault="00137DF3" w:rsidP="00D01526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D01526">
        <w:rPr>
          <w:rFonts w:ascii="Times New Roman" w:hAnsi="Times New Roman" w:cs="Times New Roman"/>
          <w:b w:val="0"/>
          <w:bCs w:val="0"/>
        </w:rPr>
        <w:t xml:space="preserve">По состоянию на 31 декабря </w:t>
      </w:r>
      <w:r w:rsidR="00D517CE">
        <w:rPr>
          <w:rFonts w:ascii="Times New Roman" w:hAnsi="Times New Roman" w:cs="Times New Roman"/>
          <w:b w:val="0"/>
          <w:bCs w:val="0"/>
        </w:rPr>
        <w:t>2018</w:t>
      </w:r>
      <w:r w:rsidRPr="00D01526">
        <w:rPr>
          <w:rFonts w:ascii="Times New Roman" w:hAnsi="Times New Roman" w:cs="Times New Roman"/>
          <w:b w:val="0"/>
          <w:bCs w:val="0"/>
        </w:rPr>
        <w:t xml:space="preserve"> года</w:t>
      </w:r>
      <w:r w:rsidR="006726E3">
        <w:rPr>
          <w:rFonts w:ascii="Times New Roman" w:hAnsi="Times New Roman" w:cs="Times New Roman"/>
          <w:b w:val="0"/>
          <w:bCs w:val="0"/>
        </w:rPr>
        <w:t xml:space="preserve">, </w:t>
      </w:r>
      <w:r w:rsidR="006726E3" w:rsidRPr="00D01526">
        <w:rPr>
          <w:rFonts w:ascii="Times New Roman" w:hAnsi="Times New Roman" w:cs="Times New Roman"/>
          <w:b w:val="0"/>
          <w:bCs w:val="0"/>
        </w:rPr>
        <w:t xml:space="preserve">31 декабря </w:t>
      </w:r>
      <w:r w:rsidR="006726E3">
        <w:rPr>
          <w:rFonts w:ascii="Times New Roman" w:hAnsi="Times New Roman" w:cs="Times New Roman"/>
          <w:b w:val="0"/>
          <w:bCs w:val="0"/>
        </w:rPr>
        <w:t>201</w:t>
      </w:r>
      <w:r w:rsidR="006726E3">
        <w:rPr>
          <w:rFonts w:ascii="Times New Roman" w:hAnsi="Times New Roman" w:cs="Times New Roman"/>
          <w:b w:val="0"/>
          <w:bCs w:val="0"/>
        </w:rPr>
        <w:t>7</w:t>
      </w:r>
      <w:r w:rsidR="006726E3" w:rsidRPr="00D01526">
        <w:rPr>
          <w:rFonts w:ascii="Times New Roman" w:hAnsi="Times New Roman" w:cs="Times New Roman"/>
          <w:b w:val="0"/>
          <w:bCs w:val="0"/>
        </w:rPr>
        <w:t xml:space="preserve"> года</w:t>
      </w:r>
      <w:r w:rsidR="006726E3">
        <w:rPr>
          <w:rFonts w:ascii="Times New Roman" w:hAnsi="Times New Roman" w:cs="Times New Roman"/>
          <w:b w:val="0"/>
          <w:bCs w:val="0"/>
        </w:rPr>
        <w:t xml:space="preserve">, </w:t>
      </w:r>
      <w:r w:rsidR="006726E3" w:rsidRPr="00D01526">
        <w:rPr>
          <w:rFonts w:ascii="Times New Roman" w:hAnsi="Times New Roman" w:cs="Times New Roman"/>
          <w:b w:val="0"/>
          <w:bCs w:val="0"/>
        </w:rPr>
        <w:t xml:space="preserve">31 декабря </w:t>
      </w:r>
      <w:r w:rsidR="006726E3">
        <w:rPr>
          <w:rFonts w:ascii="Times New Roman" w:hAnsi="Times New Roman" w:cs="Times New Roman"/>
          <w:b w:val="0"/>
          <w:bCs w:val="0"/>
        </w:rPr>
        <w:t>201</w:t>
      </w:r>
      <w:r w:rsidR="006726E3">
        <w:rPr>
          <w:rFonts w:ascii="Times New Roman" w:hAnsi="Times New Roman" w:cs="Times New Roman"/>
          <w:b w:val="0"/>
          <w:bCs w:val="0"/>
        </w:rPr>
        <w:t>6</w:t>
      </w:r>
      <w:r w:rsidR="006726E3" w:rsidRPr="00D01526">
        <w:rPr>
          <w:rFonts w:ascii="Times New Roman" w:hAnsi="Times New Roman" w:cs="Times New Roman"/>
          <w:b w:val="0"/>
          <w:bCs w:val="0"/>
        </w:rPr>
        <w:t xml:space="preserve"> года</w:t>
      </w:r>
      <w:r w:rsidRPr="00D01526">
        <w:rPr>
          <w:rFonts w:ascii="Times New Roman" w:hAnsi="Times New Roman" w:cs="Times New Roman"/>
          <w:b w:val="0"/>
          <w:bCs w:val="0"/>
        </w:rPr>
        <w:t xml:space="preserve"> в составе статьи </w:t>
      </w:r>
      <w:r w:rsidRPr="00D01526">
        <w:rPr>
          <w:rFonts w:ascii="Times New Roman" w:hAnsi="Times New Roman" w:cs="Times New Roman"/>
          <w:b w:val="0"/>
        </w:rPr>
        <w:t xml:space="preserve">«Финансовые вложения» </w:t>
      </w:r>
      <w:r w:rsidRPr="00D01526">
        <w:rPr>
          <w:rFonts w:ascii="Times New Roman" w:hAnsi="Times New Roman" w:cs="Times New Roman"/>
          <w:b w:val="0"/>
          <w:bCs w:val="0"/>
        </w:rPr>
        <w:t>бухгалтерского баланса</w:t>
      </w:r>
      <w:r w:rsidRPr="00D01526">
        <w:rPr>
          <w:rFonts w:ascii="Times New Roman" w:hAnsi="Times New Roman" w:cs="Times New Roman"/>
          <w:b w:val="0"/>
        </w:rPr>
        <w:t xml:space="preserve"> </w:t>
      </w:r>
      <w:r w:rsidRPr="00D01526">
        <w:rPr>
          <w:rFonts w:ascii="Times New Roman" w:hAnsi="Times New Roman" w:cs="Times New Roman"/>
          <w:b w:val="0"/>
          <w:bCs w:val="0"/>
        </w:rPr>
        <w:t xml:space="preserve">по состоянию на 31 декабря </w:t>
      </w:r>
      <w:r w:rsidR="00D517CE">
        <w:rPr>
          <w:rFonts w:ascii="Times New Roman" w:hAnsi="Times New Roman" w:cs="Times New Roman"/>
          <w:b w:val="0"/>
          <w:bCs w:val="0"/>
        </w:rPr>
        <w:t>2018</w:t>
      </w:r>
      <w:r w:rsidRPr="00D01526">
        <w:rPr>
          <w:rFonts w:ascii="Times New Roman" w:hAnsi="Times New Roman" w:cs="Times New Roman"/>
          <w:b w:val="0"/>
          <w:bCs w:val="0"/>
        </w:rPr>
        <w:t xml:space="preserve"> года отражен</w:t>
      </w:r>
      <w:r w:rsidR="006726E3">
        <w:rPr>
          <w:rFonts w:ascii="Times New Roman" w:hAnsi="Times New Roman" w:cs="Times New Roman"/>
          <w:b w:val="0"/>
          <w:bCs w:val="0"/>
        </w:rPr>
        <w:t>ы</w:t>
      </w:r>
      <w:r w:rsidRPr="00D01526">
        <w:rPr>
          <w:rFonts w:ascii="Times New Roman" w:hAnsi="Times New Roman" w:cs="Times New Roman"/>
          <w:b w:val="0"/>
          <w:bCs w:val="0"/>
        </w:rPr>
        <w:t>, в том числе, финансов</w:t>
      </w:r>
      <w:r w:rsidR="006726E3">
        <w:rPr>
          <w:rFonts w:ascii="Times New Roman" w:hAnsi="Times New Roman" w:cs="Times New Roman"/>
          <w:b w:val="0"/>
          <w:bCs w:val="0"/>
        </w:rPr>
        <w:t>ые</w:t>
      </w:r>
      <w:r w:rsidRPr="00D01526">
        <w:rPr>
          <w:rFonts w:ascii="Times New Roman" w:hAnsi="Times New Roman" w:cs="Times New Roman"/>
          <w:b w:val="0"/>
          <w:bCs w:val="0"/>
        </w:rPr>
        <w:t xml:space="preserve"> вложени</w:t>
      </w:r>
      <w:r w:rsidR="006726E3">
        <w:rPr>
          <w:rFonts w:ascii="Times New Roman" w:hAnsi="Times New Roman" w:cs="Times New Roman"/>
          <w:b w:val="0"/>
          <w:bCs w:val="0"/>
        </w:rPr>
        <w:t>я</w:t>
      </w:r>
      <w:r w:rsidRPr="00D01526">
        <w:rPr>
          <w:rFonts w:ascii="Times New Roman" w:hAnsi="Times New Roman" w:cs="Times New Roman"/>
          <w:b w:val="0"/>
          <w:bCs w:val="0"/>
        </w:rPr>
        <w:t xml:space="preserve"> – дол</w:t>
      </w:r>
      <w:r w:rsidR="006726E3">
        <w:rPr>
          <w:rFonts w:ascii="Times New Roman" w:hAnsi="Times New Roman" w:cs="Times New Roman"/>
          <w:b w:val="0"/>
          <w:bCs w:val="0"/>
        </w:rPr>
        <w:t>и и акции</w:t>
      </w:r>
      <w:r w:rsidRPr="00D01526">
        <w:rPr>
          <w:rFonts w:ascii="Times New Roman" w:hAnsi="Times New Roman" w:cs="Times New Roman"/>
          <w:b w:val="0"/>
          <w:bCs w:val="0"/>
        </w:rPr>
        <w:t xml:space="preserve"> в уставном капитале в сумме 715 050 тыс. рублей. Мы не смогли получить достаточные надлежащие аудиторские доказательства в отношении количественной оценки вероятного обесценения указанных финансовых вложений, так как нам не были представлены результаты </w:t>
      </w:r>
      <w:r w:rsidRPr="00D01526">
        <w:rPr>
          <w:rFonts w:ascii="Times New Roman" w:hAnsi="Times New Roman" w:cs="Times New Roman"/>
          <w:b w:val="0"/>
        </w:rPr>
        <w:t>проверки на обесценение</w:t>
      </w:r>
      <w:r w:rsidR="00EF4E66" w:rsidRPr="00D01526">
        <w:rPr>
          <w:rFonts w:ascii="Times New Roman" w:hAnsi="Times New Roman" w:cs="Times New Roman"/>
          <w:b w:val="0"/>
        </w:rPr>
        <w:t xml:space="preserve"> </w:t>
      </w:r>
      <w:r w:rsidRPr="00D01526">
        <w:rPr>
          <w:rFonts w:ascii="Times New Roman" w:hAnsi="Times New Roman" w:cs="Times New Roman"/>
          <w:b w:val="0"/>
        </w:rPr>
        <w:t>финансовых вложений</w:t>
      </w:r>
      <w:r w:rsidR="00821ACA">
        <w:rPr>
          <w:rFonts w:ascii="Times New Roman" w:hAnsi="Times New Roman" w:cs="Times New Roman"/>
          <w:b w:val="0"/>
        </w:rPr>
        <w:t>.</w:t>
      </w:r>
      <w:r w:rsidR="00284683" w:rsidRPr="00D01526">
        <w:rPr>
          <w:rFonts w:ascii="Times New Roman" w:hAnsi="Times New Roman" w:cs="Times New Roman"/>
          <w:b w:val="0"/>
        </w:rPr>
        <w:t xml:space="preserve"> </w:t>
      </w:r>
      <w:r w:rsidRPr="00D01526">
        <w:rPr>
          <w:rFonts w:ascii="Times New Roman" w:hAnsi="Times New Roman" w:cs="Times New Roman"/>
          <w:b w:val="0"/>
          <w:bCs w:val="0"/>
        </w:rPr>
        <w:t xml:space="preserve">Как следствие, у нас отсутствует возможность определить, необходимы ли какие-либо корректировки показателей по статьям </w:t>
      </w:r>
      <w:r w:rsidR="00EF4E66" w:rsidRPr="00D01526">
        <w:rPr>
          <w:rFonts w:ascii="Times New Roman" w:hAnsi="Times New Roman" w:cs="Times New Roman"/>
          <w:b w:val="0"/>
          <w:bCs w:val="0"/>
        </w:rPr>
        <w:t xml:space="preserve">«Финансовые вложения», «Нераспределенная прибыль (непокрытый убыток)» бухгалтерского баланса по состоянию </w:t>
      </w:r>
      <w:r w:rsidR="00EF4E66" w:rsidRPr="00D01526">
        <w:rPr>
          <w:rFonts w:ascii="Times New Roman" w:hAnsi="Times New Roman" w:cs="Times New Roman"/>
          <w:b w:val="0"/>
        </w:rPr>
        <w:t xml:space="preserve">на 31 декабря </w:t>
      </w:r>
      <w:r w:rsidR="00D517CE">
        <w:rPr>
          <w:rFonts w:ascii="Times New Roman" w:hAnsi="Times New Roman" w:cs="Times New Roman"/>
          <w:b w:val="0"/>
        </w:rPr>
        <w:t>2018</w:t>
      </w:r>
      <w:r w:rsidR="00EF4E66" w:rsidRPr="00D01526">
        <w:rPr>
          <w:rFonts w:ascii="Times New Roman" w:hAnsi="Times New Roman" w:cs="Times New Roman"/>
          <w:b w:val="0"/>
        </w:rPr>
        <w:t xml:space="preserve"> года</w:t>
      </w:r>
      <w:r w:rsidR="00161948" w:rsidRPr="00D01526">
        <w:rPr>
          <w:rFonts w:ascii="Times New Roman" w:hAnsi="Times New Roman" w:cs="Times New Roman"/>
          <w:b w:val="0"/>
        </w:rPr>
        <w:t>.</w:t>
      </w:r>
      <w:r w:rsidR="00EF4E66" w:rsidRPr="00D01526">
        <w:rPr>
          <w:rFonts w:ascii="Times New Roman" w:hAnsi="Times New Roman" w:cs="Times New Roman"/>
          <w:b w:val="0"/>
        </w:rPr>
        <w:t xml:space="preserve"> </w:t>
      </w:r>
    </w:p>
    <w:p w:rsidR="00871534" w:rsidRDefault="00871534" w:rsidP="00A61591">
      <w:pPr>
        <w:jc w:val="both"/>
      </w:pPr>
    </w:p>
    <w:p w:rsidR="008518AD" w:rsidRPr="008518AD" w:rsidRDefault="008518AD" w:rsidP="008518AD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8518AD">
        <w:rPr>
          <w:rFonts w:ascii="Times New Roman" w:hAnsi="Times New Roman" w:cs="Times New Roman"/>
          <w:b w:val="0"/>
        </w:rPr>
        <w:t xml:space="preserve">Мы провели аудит в соответствии с Международными стандартами аудита (МСА). Наша </w:t>
      </w:r>
      <w:r w:rsidRPr="006C1BEF">
        <w:rPr>
          <w:rFonts w:ascii="Times New Roman" w:hAnsi="Times New Roman" w:cs="Times New Roman"/>
          <w:b w:val="0"/>
        </w:rPr>
        <w:t>ответственность в</w:t>
      </w:r>
      <w:r w:rsidRPr="008518AD">
        <w:rPr>
          <w:rFonts w:ascii="Times New Roman" w:hAnsi="Times New Roman" w:cs="Times New Roman"/>
          <w:b w:val="0"/>
        </w:rPr>
        <w:t xml:space="preserve"> соответствии с этими стандартами описана в разделе «Ответственность аудитора за аудит годовой бухгалтерской</w:t>
      </w:r>
      <w:r w:rsidR="006C1BEF">
        <w:rPr>
          <w:rFonts w:ascii="Times New Roman" w:hAnsi="Times New Roman" w:cs="Times New Roman"/>
          <w:b w:val="0"/>
        </w:rPr>
        <w:t xml:space="preserve"> (финансовой)</w:t>
      </w:r>
      <w:r w:rsidRPr="008518AD">
        <w:rPr>
          <w:rFonts w:ascii="Times New Roman" w:hAnsi="Times New Roman" w:cs="Times New Roman"/>
          <w:b w:val="0"/>
        </w:rPr>
        <w:t xml:space="preserve"> отчетности» настоящего заключения. Мы являемся независимыми по отношению к </w:t>
      </w:r>
      <w:proofErr w:type="spellStart"/>
      <w:r w:rsidRPr="008518AD">
        <w:rPr>
          <w:rFonts w:ascii="Times New Roman" w:hAnsi="Times New Roman" w:cs="Times New Roman"/>
          <w:b w:val="0"/>
        </w:rPr>
        <w:t>аудируемому</w:t>
      </w:r>
      <w:proofErr w:type="spellEnd"/>
      <w:r w:rsidRPr="008518AD">
        <w:rPr>
          <w:rFonts w:ascii="Times New Roman" w:hAnsi="Times New Roman" w:cs="Times New Roman"/>
          <w:b w:val="0"/>
        </w:rPr>
        <w:t xml:space="preserve"> лицу в соответствии с Правилами независимости аудиторов и аудиторских организаций и </w:t>
      </w:r>
      <w:r w:rsidRPr="008518AD">
        <w:rPr>
          <w:rFonts w:ascii="Times New Roman" w:hAnsi="Times New Roman" w:cs="Times New Roman"/>
          <w:b w:val="0"/>
        </w:rPr>
        <w:lastRenderedPageBreak/>
        <w:t xml:space="preserve">Кодексом профессиональной этики </w:t>
      </w:r>
      <w:r w:rsidRPr="00020894">
        <w:rPr>
          <w:rFonts w:ascii="Times New Roman" w:hAnsi="Times New Roman" w:cs="Times New Roman"/>
          <w:b w:val="0"/>
        </w:rPr>
        <w:t>аудиторов,</w:t>
      </w:r>
      <w:r w:rsidR="006C1BEF" w:rsidRPr="00020894">
        <w:rPr>
          <w:rFonts w:ascii="Times New Roman" w:hAnsi="Times New Roman" w:cs="Times New Roman"/>
          <w:b w:val="0"/>
        </w:rPr>
        <w:t xml:space="preserve"> </w:t>
      </w:r>
      <w:r w:rsidR="00020894" w:rsidRPr="00020894">
        <w:rPr>
          <w:rFonts w:ascii="Times New Roman" w:hAnsi="Times New Roman" w:cs="Times New Roman"/>
          <w:b w:val="0"/>
        </w:rPr>
        <w:t>применимыми к нашему аудиту годовой бухгалтерской (финансовой) отчетности в</w:t>
      </w:r>
      <w:r w:rsidR="00134A96" w:rsidRPr="00020894">
        <w:rPr>
          <w:rFonts w:ascii="Times New Roman" w:hAnsi="Times New Roman" w:cs="Times New Roman"/>
          <w:b w:val="0"/>
        </w:rPr>
        <w:t xml:space="preserve"> Р</w:t>
      </w:r>
      <w:r w:rsidR="00696242" w:rsidRPr="00020894">
        <w:rPr>
          <w:rFonts w:ascii="Times New Roman" w:hAnsi="Times New Roman" w:cs="Times New Roman"/>
          <w:b w:val="0"/>
        </w:rPr>
        <w:t>оссийской Федерации</w:t>
      </w:r>
      <w:r w:rsidR="00134A96" w:rsidRPr="00020894">
        <w:rPr>
          <w:rFonts w:ascii="Times New Roman" w:hAnsi="Times New Roman" w:cs="Times New Roman"/>
          <w:b w:val="0"/>
        </w:rPr>
        <w:t>,</w:t>
      </w:r>
      <w:r w:rsidRPr="00020894">
        <w:rPr>
          <w:rFonts w:ascii="Times New Roman" w:hAnsi="Times New Roman" w:cs="Times New Roman"/>
          <w:b w:val="0"/>
        </w:rPr>
        <w:t xml:space="preserve"> соответствующими Кодексу этики профессиональных бухгалтеров, разработанному Советом</w:t>
      </w:r>
      <w:r w:rsidRPr="008518AD">
        <w:rPr>
          <w:rFonts w:ascii="Times New Roman" w:hAnsi="Times New Roman" w:cs="Times New Roman"/>
          <w:b w:val="0"/>
        </w:rPr>
        <w:t xml:space="preserve"> по международным стандартам этики для профессиональных бухгалтеров, и нами выполнены прочие иные обязанности в соответствии с этими требованиями профессиональной этики. Мы полагаем, что полученные нами аудиторские доказательства являются достаточными и надлежащими, чтобы служить основанием для выражения на</w:t>
      </w:r>
      <w:r w:rsidR="00B236BF">
        <w:rPr>
          <w:rFonts w:ascii="Times New Roman" w:hAnsi="Times New Roman" w:cs="Times New Roman"/>
          <w:b w:val="0"/>
        </w:rPr>
        <w:t>ми</w:t>
      </w:r>
      <w:r w:rsidRPr="008518AD">
        <w:rPr>
          <w:rFonts w:ascii="Times New Roman" w:hAnsi="Times New Roman" w:cs="Times New Roman"/>
          <w:b w:val="0"/>
        </w:rPr>
        <w:t xml:space="preserve"> мнения</w:t>
      </w:r>
      <w:r w:rsidR="00B236BF">
        <w:rPr>
          <w:rFonts w:ascii="Times New Roman" w:hAnsi="Times New Roman" w:cs="Times New Roman"/>
          <w:b w:val="0"/>
        </w:rPr>
        <w:t xml:space="preserve"> с оговоркой</w:t>
      </w:r>
      <w:r w:rsidRPr="008518AD">
        <w:rPr>
          <w:rFonts w:ascii="Times New Roman" w:hAnsi="Times New Roman" w:cs="Times New Roman"/>
          <w:b w:val="0"/>
        </w:rPr>
        <w:t>.</w:t>
      </w:r>
    </w:p>
    <w:p w:rsidR="008518AD" w:rsidRDefault="008518AD" w:rsidP="008518AD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</w:p>
    <w:p w:rsidR="00352B9F" w:rsidRPr="00F76D1F" w:rsidRDefault="00352B9F" w:rsidP="00352B9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76D1F">
        <w:rPr>
          <w:rFonts w:ascii="Times New Roman" w:hAnsi="Times New Roman" w:cs="Times New Roman"/>
        </w:rPr>
        <w:t>КЛЮЧЕВЫЕ ВОПРОСЫ АУДИТА</w:t>
      </w:r>
    </w:p>
    <w:p w:rsidR="00352B9F" w:rsidRPr="006726E3" w:rsidRDefault="00352B9F" w:rsidP="00352B9F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6726E3">
        <w:rPr>
          <w:rFonts w:ascii="Times New Roman" w:hAnsi="Times New Roman" w:cs="Times New Roman"/>
          <w:b w:val="0"/>
        </w:rPr>
        <w:t>Ключевые вопросы аудита – это вопросы, которые, согласно нашему профессиональному суждению, являлись наиболее значимыми для нашего аудита годовой бухгалтерской (финансовой) отчетности за текущий период. Эти вопросы были рассмотрены в контексте нашего аудита годовой бухгалтерской (финансовой) отчетности в целом и при формировании нашего мнения об этой отчетности, и мы не выражаем отдельного мнения об этих вопросах.</w:t>
      </w:r>
    </w:p>
    <w:p w:rsidR="00B36225" w:rsidRPr="006726E3" w:rsidRDefault="00014D7A" w:rsidP="003900DF">
      <w:pPr>
        <w:pStyle w:val="af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26E3">
        <w:rPr>
          <w:rFonts w:ascii="Times New Roman" w:hAnsi="Times New Roman" w:cs="Times New Roman"/>
          <w:sz w:val="24"/>
          <w:szCs w:val="24"/>
        </w:rPr>
        <w:t>Мы выполнили обязанности, описанные в разделе «Ответственность аудитора за аудит годовой бухгалтерской (финансовой) отчетности» нашего заключения, в том числе, по отношению к этому вопросу. Соответс</w:t>
      </w:r>
      <w:r w:rsidR="00B36225" w:rsidRPr="006726E3">
        <w:rPr>
          <w:rFonts w:ascii="Times New Roman" w:hAnsi="Times New Roman" w:cs="Times New Roman"/>
          <w:sz w:val="24"/>
          <w:szCs w:val="24"/>
        </w:rPr>
        <w:t xml:space="preserve">твенно, наш аудит включал выполнение процедур, разработанных в ответ на нашу оценку рисков существенного искажения бухгалтерской (финансовой) отчетности. </w:t>
      </w:r>
    </w:p>
    <w:p w:rsidR="00014D7A" w:rsidRPr="006726E3" w:rsidRDefault="006249D6" w:rsidP="003900DF">
      <w:pPr>
        <w:pStyle w:val="af3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6E3">
        <w:rPr>
          <w:rFonts w:ascii="Times New Roman" w:hAnsi="Times New Roman" w:cs="Times New Roman"/>
          <w:b/>
          <w:sz w:val="24"/>
          <w:szCs w:val="24"/>
        </w:rPr>
        <w:t>Р</w:t>
      </w:r>
      <w:r w:rsidR="00014D7A" w:rsidRPr="006726E3">
        <w:rPr>
          <w:rFonts w:ascii="Times New Roman" w:hAnsi="Times New Roman" w:cs="Times New Roman"/>
          <w:b/>
          <w:sz w:val="24"/>
          <w:szCs w:val="24"/>
        </w:rPr>
        <w:t>аскрытие</w:t>
      </w:r>
      <w:r w:rsidRPr="006726E3">
        <w:rPr>
          <w:rFonts w:ascii="Times New Roman" w:hAnsi="Times New Roman" w:cs="Times New Roman"/>
          <w:b/>
          <w:sz w:val="24"/>
          <w:szCs w:val="24"/>
        </w:rPr>
        <w:t xml:space="preserve"> информации по</w:t>
      </w:r>
      <w:r w:rsidR="00014D7A" w:rsidRPr="006726E3">
        <w:rPr>
          <w:rFonts w:ascii="Times New Roman" w:hAnsi="Times New Roman" w:cs="Times New Roman"/>
          <w:b/>
          <w:sz w:val="24"/>
          <w:szCs w:val="24"/>
        </w:rPr>
        <w:t xml:space="preserve"> операци</w:t>
      </w:r>
      <w:r w:rsidRPr="006726E3">
        <w:rPr>
          <w:rFonts w:ascii="Times New Roman" w:hAnsi="Times New Roman" w:cs="Times New Roman"/>
          <w:b/>
          <w:sz w:val="24"/>
          <w:szCs w:val="24"/>
        </w:rPr>
        <w:t>ям</w:t>
      </w:r>
      <w:r w:rsidR="00014D7A" w:rsidRPr="006726E3">
        <w:rPr>
          <w:rFonts w:ascii="Times New Roman" w:hAnsi="Times New Roman" w:cs="Times New Roman"/>
          <w:b/>
          <w:sz w:val="24"/>
          <w:szCs w:val="24"/>
        </w:rPr>
        <w:t xml:space="preserve"> со связанными сторонами</w:t>
      </w:r>
    </w:p>
    <w:p w:rsidR="006726E3" w:rsidRPr="006726E3" w:rsidRDefault="003900DF" w:rsidP="003900DF">
      <w:pPr>
        <w:pStyle w:val="af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726E3">
        <w:rPr>
          <w:rFonts w:ascii="Times New Roman" w:hAnsi="Times New Roman" w:cs="Times New Roman"/>
          <w:sz w:val="24"/>
          <w:szCs w:val="24"/>
        </w:rPr>
        <w:t>Аудируемое</w:t>
      </w:r>
      <w:proofErr w:type="spellEnd"/>
      <w:r w:rsidRPr="006726E3">
        <w:rPr>
          <w:rFonts w:ascii="Times New Roman" w:hAnsi="Times New Roman" w:cs="Times New Roman"/>
          <w:sz w:val="24"/>
          <w:szCs w:val="24"/>
        </w:rPr>
        <w:t xml:space="preserve"> лицо имеет существенный объем операций со связанными сторонами: по реализации готовой продукции, оказанию услуг, по приобретению и реализации сырья, по предоставлению</w:t>
      </w:r>
      <w:r w:rsidR="0089552D" w:rsidRPr="006726E3">
        <w:rPr>
          <w:rFonts w:ascii="Times New Roman" w:hAnsi="Times New Roman" w:cs="Times New Roman"/>
          <w:sz w:val="24"/>
          <w:szCs w:val="24"/>
        </w:rPr>
        <w:t xml:space="preserve"> необеспеченных</w:t>
      </w:r>
      <w:r w:rsidRPr="006726E3">
        <w:rPr>
          <w:rFonts w:ascii="Times New Roman" w:hAnsi="Times New Roman" w:cs="Times New Roman"/>
          <w:sz w:val="24"/>
          <w:szCs w:val="24"/>
        </w:rPr>
        <w:t xml:space="preserve"> займов, </w:t>
      </w:r>
      <w:r w:rsidR="006726E3" w:rsidRPr="006726E3">
        <w:rPr>
          <w:rFonts w:ascii="Times New Roman" w:hAnsi="Times New Roman" w:cs="Times New Roman"/>
          <w:sz w:val="24"/>
          <w:szCs w:val="24"/>
        </w:rPr>
        <w:t>а также существенные суммы задолженности связанных сторон по начисленным процентам, существенные суммы дебиторской и кредиторской задолженности со связанными сторонами.</w:t>
      </w:r>
      <w:r w:rsidRPr="006726E3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</w:p>
    <w:p w:rsidR="00EE2A55" w:rsidRPr="006726E3" w:rsidRDefault="00EE2A55" w:rsidP="00EE2A55">
      <w:pPr>
        <w:pStyle w:val="af3"/>
        <w:ind w:firstLine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726E3">
        <w:rPr>
          <w:rFonts w:ascii="Times New Roman" w:hAnsi="Times New Roman" w:cs="Times New Roman"/>
          <w:bCs/>
          <w:iCs/>
          <w:sz w:val="24"/>
          <w:szCs w:val="24"/>
        </w:rPr>
        <w:t xml:space="preserve">Информация о связанных сторонах и операциях с ними раскрыта в </w:t>
      </w:r>
      <w:r w:rsidR="0089552D" w:rsidRPr="006726E3">
        <w:rPr>
          <w:rFonts w:ascii="Times New Roman" w:hAnsi="Times New Roman" w:cs="Times New Roman"/>
          <w:bCs/>
          <w:iCs/>
          <w:sz w:val="24"/>
          <w:szCs w:val="24"/>
        </w:rPr>
        <w:t>разделе «Информация о связанных сторонах» приложений</w:t>
      </w:r>
      <w:r w:rsidRPr="006726E3">
        <w:rPr>
          <w:rFonts w:ascii="Times New Roman" w:hAnsi="Times New Roman" w:cs="Times New Roman"/>
          <w:bCs/>
          <w:iCs/>
          <w:sz w:val="24"/>
          <w:szCs w:val="24"/>
        </w:rPr>
        <w:t xml:space="preserve"> к бухгалтерскому балансу и отчету о финансовых результатах.</w:t>
      </w:r>
    </w:p>
    <w:p w:rsidR="003900DF" w:rsidRPr="006726E3" w:rsidRDefault="003900DF" w:rsidP="003900DF">
      <w:pPr>
        <w:pStyle w:val="af3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726E3">
        <w:rPr>
          <w:rFonts w:ascii="Times New Roman" w:hAnsi="Times New Roman" w:cs="Times New Roman"/>
          <w:bCs/>
          <w:iCs/>
          <w:sz w:val="24"/>
          <w:szCs w:val="24"/>
        </w:rPr>
        <w:t>Отношения со связанными сторонами влияют на финансовую и операционную политику</w:t>
      </w:r>
      <w:r w:rsidRPr="006726E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26E3">
        <w:rPr>
          <w:rFonts w:ascii="Times New Roman" w:hAnsi="Times New Roman" w:cs="Times New Roman"/>
          <w:sz w:val="24"/>
          <w:szCs w:val="24"/>
        </w:rPr>
        <w:t>аудируемого</w:t>
      </w:r>
      <w:proofErr w:type="spellEnd"/>
      <w:r w:rsidRPr="006726E3">
        <w:rPr>
          <w:rFonts w:ascii="Times New Roman" w:hAnsi="Times New Roman" w:cs="Times New Roman"/>
          <w:sz w:val="24"/>
          <w:szCs w:val="24"/>
        </w:rPr>
        <w:t xml:space="preserve"> лица, влияют на его прибыль </w:t>
      </w:r>
      <w:r w:rsidRPr="006726E3">
        <w:rPr>
          <w:rFonts w:ascii="Times New Roman" w:hAnsi="Times New Roman" w:cs="Times New Roman"/>
          <w:bCs/>
          <w:iCs/>
          <w:sz w:val="24"/>
          <w:szCs w:val="24"/>
        </w:rPr>
        <w:t xml:space="preserve">и финансовое положение. </w:t>
      </w:r>
      <w:r w:rsidRPr="006726E3">
        <w:rPr>
          <w:rFonts w:ascii="Times New Roman" w:hAnsi="Times New Roman" w:cs="Times New Roman"/>
          <w:sz w:val="24"/>
          <w:szCs w:val="24"/>
        </w:rPr>
        <w:t xml:space="preserve">Вследствие характера отношений между </w:t>
      </w:r>
      <w:proofErr w:type="spellStart"/>
      <w:r w:rsidRPr="006726E3">
        <w:rPr>
          <w:rFonts w:ascii="Times New Roman" w:hAnsi="Times New Roman" w:cs="Times New Roman"/>
          <w:sz w:val="24"/>
          <w:szCs w:val="24"/>
        </w:rPr>
        <w:t>аудируемым</w:t>
      </w:r>
      <w:proofErr w:type="spellEnd"/>
      <w:r w:rsidRPr="006726E3">
        <w:rPr>
          <w:rFonts w:ascii="Times New Roman" w:hAnsi="Times New Roman" w:cs="Times New Roman"/>
          <w:sz w:val="24"/>
          <w:szCs w:val="24"/>
        </w:rPr>
        <w:t xml:space="preserve"> лицом и связанными сторонами  условия этих операций отличаются от условий, обычно принятых для аналогичных операций с несвязанными сторонами. Эти условия могут быть изменены в любой момент времени исходя из интересов связанных сторон и, таким образом, влиять на сопоставимость данных в бухгалтерской</w:t>
      </w:r>
      <w:r w:rsidR="00314C97" w:rsidRPr="006726E3">
        <w:rPr>
          <w:rFonts w:ascii="Times New Roman" w:hAnsi="Times New Roman" w:cs="Times New Roman"/>
          <w:sz w:val="24"/>
          <w:szCs w:val="24"/>
        </w:rPr>
        <w:t xml:space="preserve"> (финансовой)</w:t>
      </w:r>
      <w:r w:rsidRPr="006726E3">
        <w:rPr>
          <w:rFonts w:ascii="Times New Roman" w:hAnsi="Times New Roman" w:cs="Times New Roman"/>
          <w:sz w:val="24"/>
          <w:szCs w:val="24"/>
        </w:rPr>
        <w:t xml:space="preserve"> отчетности различных периодов.</w:t>
      </w:r>
      <w:r w:rsidR="00B36225" w:rsidRPr="006726E3">
        <w:rPr>
          <w:rFonts w:ascii="Times New Roman" w:hAnsi="Times New Roman" w:cs="Times New Roman"/>
          <w:sz w:val="24"/>
          <w:szCs w:val="24"/>
        </w:rPr>
        <w:t xml:space="preserve"> Следовательно, мы считаем данный вопрос ключевым для нашего аудита.</w:t>
      </w:r>
    </w:p>
    <w:p w:rsidR="003900DF" w:rsidRPr="006726E3" w:rsidRDefault="003900DF" w:rsidP="003900DF">
      <w:pPr>
        <w:autoSpaceDE w:val="0"/>
        <w:autoSpaceDN w:val="0"/>
        <w:adjustRightInd w:val="0"/>
        <w:ind w:firstLine="540"/>
        <w:jc w:val="both"/>
        <w:outlineLvl w:val="0"/>
      </w:pPr>
      <w:proofErr w:type="gramStart"/>
      <w:r w:rsidRPr="006726E3">
        <w:t>Наши аудиторские процедуры включали: тестирование средств контроля процесса выявления связанных сторон</w:t>
      </w:r>
      <w:r w:rsidR="00B36225" w:rsidRPr="006726E3">
        <w:t xml:space="preserve"> и раскрытия операций со связанными сторонами</w:t>
      </w:r>
      <w:r w:rsidRPr="006726E3">
        <w:t>, изучение взаимоотношений и операций со связанными сторонами, в том числе, посредством направления запросов и получения письменных заявлений руководства, изучение протоколов совета директоров, общего собрания акционеров и другой документации, выявление значительных операций за рамками обычной деятельности</w:t>
      </w:r>
      <w:r w:rsidR="006726E3" w:rsidRPr="006726E3">
        <w:t>, получение внешних</w:t>
      </w:r>
      <w:r w:rsidR="00B36225" w:rsidRPr="006726E3">
        <w:t xml:space="preserve"> подтверждени</w:t>
      </w:r>
      <w:r w:rsidR="006726E3" w:rsidRPr="006726E3">
        <w:t>й</w:t>
      </w:r>
      <w:r w:rsidR="00B36225" w:rsidRPr="006726E3">
        <w:t xml:space="preserve"> от связанных сторон</w:t>
      </w:r>
      <w:r w:rsidR="008109F4" w:rsidRPr="006726E3">
        <w:t xml:space="preserve"> по</w:t>
      </w:r>
      <w:r w:rsidR="006249D6" w:rsidRPr="006726E3">
        <w:t xml:space="preserve"> </w:t>
      </w:r>
      <w:r w:rsidR="008109F4" w:rsidRPr="006726E3">
        <w:t>остаткам</w:t>
      </w:r>
      <w:proofErr w:type="gramEnd"/>
      <w:r w:rsidR="008109F4" w:rsidRPr="006726E3">
        <w:t xml:space="preserve"> на конец года</w:t>
      </w:r>
      <w:r w:rsidR="006726E3" w:rsidRPr="006726E3">
        <w:t>. Мы также</w:t>
      </w:r>
      <w:r w:rsidR="008109F4" w:rsidRPr="006726E3">
        <w:t xml:space="preserve"> </w:t>
      </w:r>
      <w:r w:rsidRPr="006726E3">
        <w:t xml:space="preserve">оценили достаточность раскрытия информации о связанных сторонах и операциях с ними в годовой бухгалтерской (финансовой) отчетности </w:t>
      </w:r>
      <w:proofErr w:type="spellStart"/>
      <w:r w:rsidRPr="006726E3">
        <w:t>аудируемого</w:t>
      </w:r>
      <w:proofErr w:type="spellEnd"/>
      <w:r w:rsidRPr="006726E3">
        <w:t xml:space="preserve"> лица.</w:t>
      </w:r>
    </w:p>
    <w:p w:rsidR="00535AC2" w:rsidRPr="006726E3" w:rsidRDefault="00535AC2" w:rsidP="00875284">
      <w:pPr>
        <w:keepNext/>
        <w:ind w:firstLine="567"/>
        <w:jc w:val="both"/>
        <w:rPr>
          <w:rFonts w:eastAsia="Calibri"/>
          <w:b/>
          <w:bCs/>
        </w:rPr>
      </w:pPr>
    </w:p>
    <w:p w:rsidR="004577C0" w:rsidRPr="006726E3" w:rsidRDefault="004577C0" w:rsidP="00875284">
      <w:pPr>
        <w:keepNext/>
        <w:ind w:firstLine="567"/>
        <w:jc w:val="both"/>
        <w:rPr>
          <w:rFonts w:eastAsia="Calibri"/>
          <w:b/>
          <w:bCs/>
        </w:rPr>
      </w:pPr>
      <w:r w:rsidRPr="006726E3">
        <w:rPr>
          <w:rFonts w:eastAsia="Calibri"/>
          <w:b/>
          <w:bCs/>
        </w:rPr>
        <w:t xml:space="preserve">ПРОЧАЯ ИНФОРМАЦИЯ </w:t>
      </w:r>
    </w:p>
    <w:p w:rsidR="004577C0" w:rsidRPr="006726E3" w:rsidRDefault="004577C0" w:rsidP="00875284">
      <w:pPr>
        <w:ind w:firstLine="567"/>
        <w:jc w:val="both"/>
      </w:pPr>
      <w:r w:rsidRPr="006726E3">
        <w:t xml:space="preserve">Руководство несет ответственность за прочую информацию. Прочая информация включает информацию, содержащуюся в </w:t>
      </w:r>
      <w:r w:rsidR="00EF22FC" w:rsidRPr="006726E3">
        <w:t xml:space="preserve">Годовом отчете </w:t>
      </w:r>
      <w:r w:rsidR="00D01526" w:rsidRPr="006726E3">
        <w:t>ПАО «Красный Октябрь»</w:t>
      </w:r>
      <w:r w:rsidRPr="006726E3">
        <w:t>, но не включает годовую бухгалтерскую (финансовую) отчетность и на</w:t>
      </w:r>
      <w:r w:rsidR="00EF22FC" w:rsidRPr="006726E3">
        <w:t>ше аудиторское заключение о ней</w:t>
      </w:r>
      <w:r w:rsidRPr="006726E3">
        <w:t>.</w:t>
      </w:r>
      <w:r w:rsidR="00EF22FC" w:rsidRPr="006726E3">
        <w:t xml:space="preserve"> Годовой отчет </w:t>
      </w:r>
      <w:r w:rsidR="00D01526" w:rsidRPr="006726E3">
        <w:t>ПАО «Красный Октябрь»</w:t>
      </w:r>
      <w:r w:rsidR="00EF22FC" w:rsidRPr="006726E3">
        <w:t>, предположительно, будет нам предоставлен после даты настоящего аудиторского заключения.</w:t>
      </w:r>
    </w:p>
    <w:p w:rsidR="004577C0" w:rsidRPr="006726E3" w:rsidRDefault="004577C0" w:rsidP="00875284">
      <w:pPr>
        <w:ind w:firstLine="567"/>
        <w:jc w:val="both"/>
      </w:pPr>
      <w:r w:rsidRPr="006726E3">
        <w:t>Наше мнение о годовой бухгалтерской (финансовой) отчетности не распространяется на прочую информацию, и мы не предоставляем вывода, обеспечивающего в какой-либо форме уверенность в отношении данной информации.</w:t>
      </w:r>
    </w:p>
    <w:p w:rsidR="00EF22FC" w:rsidRPr="006726E3" w:rsidRDefault="004577C0" w:rsidP="00875284">
      <w:pPr>
        <w:ind w:firstLine="567"/>
        <w:jc w:val="both"/>
      </w:pPr>
      <w:proofErr w:type="gramStart"/>
      <w:r w:rsidRPr="006726E3">
        <w:t>В связи с проведением нами аудита годовой бухгалтерской (финансовой) отчетности наша обязанность заключается в ознакомлении с прочей информацией и рассмотрении при этом вопроса, имеются ли существенные несоответствия между прочей информацией и годовой бухгалтерской (финансовой) отчетностью или нашими знаниями, полученными в ходе аудита, и не содержит ли прочая информация иные признаки существенных искажений.</w:t>
      </w:r>
      <w:proofErr w:type="gramEnd"/>
    </w:p>
    <w:p w:rsidR="004577C0" w:rsidRPr="006726E3" w:rsidRDefault="004577C0" w:rsidP="00875284">
      <w:pPr>
        <w:ind w:firstLine="567"/>
        <w:jc w:val="both"/>
      </w:pPr>
      <w:r w:rsidRPr="006726E3">
        <w:t>Если на основании проведенной нами работы мы приходим к выводу о том, что такая прочая информация содержит существенное искажение, мы обязаны сооб</w:t>
      </w:r>
      <w:r w:rsidR="00EF22FC" w:rsidRPr="006726E3">
        <w:t>щить об этом факте лицам, отвечающим за корпоративное управление.</w:t>
      </w:r>
    </w:p>
    <w:p w:rsidR="008456A1" w:rsidRPr="006726E3" w:rsidRDefault="008456A1" w:rsidP="008518A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518AD" w:rsidRPr="006726E3" w:rsidRDefault="008518AD" w:rsidP="008518A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726E3">
        <w:rPr>
          <w:rFonts w:ascii="Times New Roman" w:hAnsi="Times New Roman" w:cs="Times New Roman"/>
        </w:rPr>
        <w:t>ОТВЕТСТВЕННОСТЬ РУКОВОДСТВА</w:t>
      </w:r>
      <w:r w:rsidR="00D1616C" w:rsidRPr="006726E3">
        <w:rPr>
          <w:rFonts w:ascii="Times New Roman" w:hAnsi="Times New Roman" w:cs="Times New Roman"/>
        </w:rPr>
        <w:t xml:space="preserve"> АУДИРУЕМОГО ЛИЦА</w:t>
      </w:r>
      <w:r w:rsidR="00172B18" w:rsidRPr="006726E3">
        <w:rPr>
          <w:rFonts w:ascii="Times New Roman" w:hAnsi="Times New Roman" w:cs="Times New Roman"/>
        </w:rPr>
        <w:t xml:space="preserve"> </w:t>
      </w:r>
      <w:r w:rsidRPr="006726E3">
        <w:rPr>
          <w:rFonts w:ascii="Times New Roman" w:hAnsi="Times New Roman" w:cs="Times New Roman"/>
        </w:rPr>
        <w:t xml:space="preserve">И </w:t>
      </w:r>
      <w:r w:rsidR="00172B18" w:rsidRPr="006726E3">
        <w:rPr>
          <w:rFonts w:ascii="Times New Roman" w:hAnsi="Times New Roman" w:cs="Times New Roman"/>
        </w:rPr>
        <w:t xml:space="preserve">ЛИЦ, ОТВЕЧАЮЩИХ ЗА КОРПОРАТИВНОЕ УПРАВЛЕНИЕ, </w:t>
      </w:r>
      <w:r w:rsidRPr="006726E3">
        <w:rPr>
          <w:rFonts w:ascii="Times New Roman" w:hAnsi="Times New Roman" w:cs="Times New Roman"/>
        </w:rPr>
        <w:t>ЗА ГОДОВУЮ БУХГАЛТЕРСКУЮ</w:t>
      </w:r>
      <w:r w:rsidR="00172B18" w:rsidRPr="006726E3">
        <w:rPr>
          <w:rFonts w:ascii="Times New Roman" w:hAnsi="Times New Roman" w:cs="Times New Roman"/>
        </w:rPr>
        <w:t xml:space="preserve"> (ФИНАНСОВУЮ)</w:t>
      </w:r>
      <w:r w:rsidRPr="006726E3">
        <w:rPr>
          <w:rFonts w:ascii="Times New Roman" w:hAnsi="Times New Roman" w:cs="Times New Roman"/>
        </w:rPr>
        <w:t xml:space="preserve"> ОТЧЕТНОСТЬ</w:t>
      </w:r>
    </w:p>
    <w:p w:rsidR="008518AD" w:rsidRPr="006726E3" w:rsidRDefault="008518AD" w:rsidP="008518AD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proofErr w:type="gramStart"/>
      <w:r w:rsidRPr="006726E3">
        <w:rPr>
          <w:rFonts w:ascii="Times New Roman" w:hAnsi="Times New Roman" w:cs="Times New Roman"/>
          <w:b w:val="0"/>
        </w:rPr>
        <w:t>Руководство несет ответственность за подготовку и достоверное представление указанной годовой бухгалтерской</w:t>
      </w:r>
      <w:r w:rsidR="006C1BEF" w:rsidRPr="006726E3">
        <w:rPr>
          <w:rFonts w:ascii="Times New Roman" w:hAnsi="Times New Roman" w:cs="Times New Roman"/>
          <w:b w:val="0"/>
        </w:rPr>
        <w:t xml:space="preserve"> (финансовой)</w:t>
      </w:r>
      <w:r w:rsidRPr="006726E3">
        <w:rPr>
          <w:rFonts w:ascii="Times New Roman" w:hAnsi="Times New Roman" w:cs="Times New Roman"/>
          <w:b w:val="0"/>
        </w:rPr>
        <w:t xml:space="preserve"> отчетности в соответствии с правилами составления бухгалтерской отчетности, установленными в Российской Федерации, и за систему внутреннего контроля, которую руководство считает необходимой для подготовки годовой бухгалтерской </w:t>
      </w:r>
      <w:r w:rsidR="006C1BEF" w:rsidRPr="006726E3">
        <w:rPr>
          <w:rFonts w:ascii="Times New Roman" w:hAnsi="Times New Roman" w:cs="Times New Roman"/>
          <w:b w:val="0"/>
        </w:rPr>
        <w:t xml:space="preserve">(финансовой) </w:t>
      </w:r>
      <w:r w:rsidRPr="006726E3">
        <w:rPr>
          <w:rFonts w:ascii="Times New Roman" w:hAnsi="Times New Roman" w:cs="Times New Roman"/>
          <w:b w:val="0"/>
        </w:rPr>
        <w:t>отчетности, не содержащей существенных искажений вследствие недобросовестных действий или ошибок.</w:t>
      </w:r>
      <w:proofErr w:type="gramEnd"/>
    </w:p>
    <w:p w:rsidR="008518AD" w:rsidRPr="006726E3" w:rsidRDefault="008518AD" w:rsidP="008518AD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proofErr w:type="gramStart"/>
      <w:r w:rsidRPr="006726E3">
        <w:rPr>
          <w:rFonts w:ascii="Times New Roman" w:hAnsi="Times New Roman" w:cs="Times New Roman"/>
          <w:b w:val="0"/>
        </w:rPr>
        <w:t>При подготовке годовой бухгалтерской</w:t>
      </w:r>
      <w:r w:rsidR="006C1BEF" w:rsidRPr="006726E3">
        <w:rPr>
          <w:rFonts w:ascii="Times New Roman" w:hAnsi="Times New Roman" w:cs="Times New Roman"/>
          <w:b w:val="0"/>
        </w:rPr>
        <w:t xml:space="preserve"> (финансовой)</w:t>
      </w:r>
      <w:r w:rsidRPr="006726E3">
        <w:rPr>
          <w:rFonts w:ascii="Times New Roman" w:hAnsi="Times New Roman" w:cs="Times New Roman"/>
          <w:b w:val="0"/>
        </w:rPr>
        <w:t xml:space="preserve"> отчетности руководство несет ответственность за оценку способности </w:t>
      </w:r>
      <w:proofErr w:type="spellStart"/>
      <w:r w:rsidRPr="006726E3">
        <w:rPr>
          <w:rFonts w:ascii="Times New Roman" w:hAnsi="Times New Roman" w:cs="Times New Roman"/>
          <w:b w:val="0"/>
        </w:rPr>
        <w:t>аудируемого</w:t>
      </w:r>
      <w:proofErr w:type="spellEnd"/>
      <w:r w:rsidRPr="006726E3">
        <w:rPr>
          <w:rFonts w:ascii="Times New Roman" w:hAnsi="Times New Roman" w:cs="Times New Roman"/>
          <w:b w:val="0"/>
        </w:rPr>
        <w:t xml:space="preserve"> лица продолжать непрерывно свою деятельность, за раскрытие в соответствующих случаях сведений, относящихся к непрерывности деятельности, и за составление отчетности на основе допущения о непрерывности деятельности, за исключением случаев, когда руководство намеревается ликвидировать </w:t>
      </w:r>
      <w:proofErr w:type="spellStart"/>
      <w:r w:rsidRPr="006726E3">
        <w:rPr>
          <w:rFonts w:ascii="Times New Roman" w:hAnsi="Times New Roman" w:cs="Times New Roman"/>
          <w:b w:val="0"/>
        </w:rPr>
        <w:t>аудируемое</w:t>
      </w:r>
      <w:proofErr w:type="spellEnd"/>
      <w:r w:rsidRPr="006726E3">
        <w:rPr>
          <w:rFonts w:ascii="Times New Roman" w:hAnsi="Times New Roman" w:cs="Times New Roman"/>
          <w:b w:val="0"/>
        </w:rPr>
        <w:t xml:space="preserve"> лицо, прекратить его деятельность или когда у него отсутствует какая-либо иная реальная альтернатива, кроме</w:t>
      </w:r>
      <w:proofErr w:type="gramEnd"/>
      <w:r w:rsidRPr="006726E3">
        <w:rPr>
          <w:rFonts w:ascii="Times New Roman" w:hAnsi="Times New Roman" w:cs="Times New Roman"/>
          <w:b w:val="0"/>
        </w:rPr>
        <w:t xml:space="preserve"> ликвидации или прекращения деятельности.</w:t>
      </w:r>
    </w:p>
    <w:p w:rsidR="008518AD" w:rsidRPr="006726E3" w:rsidRDefault="00172B18" w:rsidP="008518AD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6726E3">
        <w:rPr>
          <w:rFonts w:ascii="Times New Roman" w:hAnsi="Times New Roman" w:cs="Times New Roman"/>
          <w:b w:val="0"/>
        </w:rPr>
        <w:t>Лица, отве</w:t>
      </w:r>
      <w:r w:rsidR="008109F4" w:rsidRPr="006726E3">
        <w:rPr>
          <w:rFonts w:ascii="Times New Roman" w:hAnsi="Times New Roman" w:cs="Times New Roman"/>
          <w:b w:val="0"/>
        </w:rPr>
        <w:t>чающие</w:t>
      </w:r>
      <w:r w:rsidRPr="006726E3">
        <w:rPr>
          <w:rFonts w:ascii="Times New Roman" w:hAnsi="Times New Roman" w:cs="Times New Roman"/>
          <w:b w:val="0"/>
        </w:rPr>
        <w:t xml:space="preserve"> за корпоративное управление,</w:t>
      </w:r>
      <w:r w:rsidR="008518AD" w:rsidRPr="006726E3">
        <w:rPr>
          <w:rFonts w:ascii="Times New Roman" w:hAnsi="Times New Roman" w:cs="Times New Roman"/>
          <w:b w:val="0"/>
        </w:rPr>
        <w:t xml:space="preserve"> несут ответственность за надзор за подготовкой годовой бухгалтерской</w:t>
      </w:r>
      <w:r w:rsidRPr="006726E3">
        <w:rPr>
          <w:rFonts w:ascii="Times New Roman" w:hAnsi="Times New Roman" w:cs="Times New Roman"/>
          <w:b w:val="0"/>
        </w:rPr>
        <w:t xml:space="preserve"> (финансовой)</w:t>
      </w:r>
      <w:r w:rsidR="008518AD" w:rsidRPr="006726E3">
        <w:rPr>
          <w:rFonts w:ascii="Times New Roman" w:hAnsi="Times New Roman" w:cs="Times New Roman"/>
          <w:b w:val="0"/>
        </w:rPr>
        <w:t xml:space="preserve"> отчетности </w:t>
      </w:r>
      <w:proofErr w:type="spellStart"/>
      <w:r w:rsidR="008518AD" w:rsidRPr="006726E3">
        <w:rPr>
          <w:rFonts w:ascii="Times New Roman" w:hAnsi="Times New Roman" w:cs="Times New Roman"/>
          <w:b w:val="0"/>
        </w:rPr>
        <w:t>аудируемого</w:t>
      </w:r>
      <w:proofErr w:type="spellEnd"/>
      <w:r w:rsidR="008518AD" w:rsidRPr="006726E3">
        <w:rPr>
          <w:rFonts w:ascii="Times New Roman" w:hAnsi="Times New Roman" w:cs="Times New Roman"/>
          <w:b w:val="0"/>
        </w:rPr>
        <w:t xml:space="preserve"> лица.</w:t>
      </w:r>
    </w:p>
    <w:p w:rsidR="008518AD" w:rsidRPr="006726E3" w:rsidRDefault="008518AD" w:rsidP="008518AD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</w:p>
    <w:p w:rsidR="008518AD" w:rsidRPr="006726E3" w:rsidRDefault="008518AD" w:rsidP="008518A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726E3">
        <w:rPr>
          <w:rFonts w:ascii="Times New Roman" w:hAnsi="Times New Roman" w:cs="Times New Roman"/>
        </w:rPr>
        <w:t xml:space="preserve">ОТВЕТСТВЕННОСТЬ АУДИТОРА ЗА АУДИТ ГОДОВОЙ БУХГАЛТЕРСКОЙ </w:t>
      </w:r>
      <w:r w:rsidR="006C1BEF" w:rsidRPr="006726E3">
        <w:rPr>
          <w:rFonts w:ascii="Times New Roman" w:hAnsi="Times New Roman" w:cs="Times New Roman"/>
        </w:rPr>
        <w:t xml:space="preserve">(ФИНАНСОВОЙ) </w:t>
      </w:r>
      <w:r w:rsidRPr="006726E3">
        <w:rPr>
          <w:rFonts w:ascii="Times New Roman" w:hAnsi="Times New Roman" w:cs="Times New Roman"/>
        </w:rPr>
        <w:t>ОТЧЕТНОСТИ</w:t>
      </w:r>
    </w:p>
    <w:p w:rsidR="008518AD" w:rsidRPr="006726E3" w:rsidRDefault="008518AD" w:rsidP="008518AD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proofErr w:type="gramStart"/>
      <w:r w:rsidRPr="006726E3">
        <w:rPr>
          <w:rFonts w:ascii="Times New Roman" w:hAnsi="Times New Roman" w:cs="Times New Roman"/>
          <w:b w:val="0"/>
        </w:rPr>
        <w:t>Наша цель состоит в получении разумной уверенности в том, что годовая бухгалтерская</w:t>
      </w:r>
      <w:r w:rsidR="006C1BEF" w:rsidRPr="006726E3">
        <w:rPr>
          <w:rFonts w:ascii="Times New Roman" w:hAnsi="Times New Roman" w:cs="Times New Roman"/>
          <w:b w:val="0"/>
        </w:rPr>
        <w:t xml:space="preserve"> (финансовой)</w:t>
      </w:r>
      <w:r w:rsidRPr="006726E3">
        <w:rPr>
          <w:rFonts w:ascii="Times New Roman" w:hAnsi="Times New Roman" w:cs="Times New Roman"/>
          <w:b w:val="0"/>
        </w:rPr>
        <w:t xml:space="preserve"> отчетность не содержит существенных искажений вследствие недобросовестных действий или ошибок, и в </w:t>
      </w:r>
      <w:r w:rsidR="008109F4" w:rsidRPr="006726E3">
        <w:rPr>
          <w:rFonts w:ascii="Times New Roman" w:hAnsi="Times New Roman" w:cs="Times New Roman"/>
          <w:b w:val="0"/>
        </w:rPr>
        <w:t>выпуске</w:t>
      </w:r>
      <w:r w:rsidRPr="006726E3">
        <w:rPr>
          <w:rFonts w:ascii="Times New Roman" w:hAnsi="Times New Roman" w:cs="Times New Roman"/>
          <w:b w:val="0"/>
        </w:rPr>
        <w:t xml:space="preserve"> аудиторского заключения, содержащего наше мнение.</w:t>
      </w:r>
      <w:proofErr w:type="gramEnd"/>
      <w:r w:rsidRPr="006726E3">
        <w:rPr>
          <w:rFonts w:ascii="Times New Roman" w:hAnsi="Times New Roman" w:cs="Times New Roman"/>
          <w:b w:val="0"/>
        </w:rPr>
        <w:t xml:space="preserve"> Разумная уверенность представляет собой высокую степень уверенности, но не является гарантией того, что аудит, проведенный в соответствии с МСА, всегда выявляет существенные искажения при их наличии. Искажения могут быть результатом недобросовестных действий или ошибок и считаются существенными, если можно обоснованно предположить, что в отдельности или в совокупности они могут </w:t>
      </w:r>
      <w:r w:rsidRPr="006726E3">
        <w:rPr>
          <w:rFonts w:ascii="Times New Roman" w:hAnsi="Times New Roman" w:cs="Times New Roman"/>
          <w:b w:val="0"/>
        </w:rPr>
        <w:lastRenderedPageBreak/>
        <w:t>повлиять на экономические решения пользователей, принимаемые на основе этой годовой бухгалтерской</w:t>
      </w:r>
      <w:r w:rsidR="008109F4" w:rsidRPr="006726E3">
        <w:rPr>
          <w:rFonts w:ascii="Times New Roman" w:hAnsi="Times New Roman" w:cs="Times New Roman"/>
          <w:b w:val="0"/>
        </w:rPr>
        <w:t xml:space="preserve"> (финансовой)</w:t>
      </w:r>
      <w:r w:rsidRPr="006726E3">
        <w:rPr>
          <w:rFonts w:ascii="Times New Roman" w:hAnsi="Times New Roman" w:cs="Times New Roman"/>
          <w:b w:val="0"/>
        </w:rPr>
        <w:t xml:space="preserve"> отчетности.</w:t>
      </w:r>
    </w:p>
    <w:p w:rsidR="008518AD" w:rsidRPr="006726E3" w:rsidRDefault="008518AD" w:rsidP="008518AD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6726E3">
        <w:rPr>
          <w:rFonts w:ascii="Times New Roman" w:hAnsi="Times New Roman" w:cs="Times New Roman"/>
          <w:b w:val="0"/>
        </w:rPr>
        <w:t>В рамках аудита, проводимого в соответствии с МСА, мы применяем профессиональное суждение и сохраняем профессиональный скептицизм на протяжении всего аудита. Кроме того, мы:</w:t>
      </w:r>
    </w:p>
    <w:p w:rsidR="008518AD" w:rsidRPr="006726E3" w:rsidRDefault="008518AD" w:rsidP="008518AD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6726E3">
        <w:rPr>
          <w:rFonts w:ascii="Times New Roman" w:hAnsi="Times New Roman" w:cs="Times New Roman"/>
          <w:b w:val="0"/>
        </w:rPr>
        <w:t xml:space="preserve">а) выявляем и оцениваем риски существенного искажения годовой бухгалтерской </w:t>
      </w:r>
      <w:r w:rsidR="006C1BEF" w:rsidRPr="006726E3">
        <w:rPr>
          <w:rFonts w:ascii="Times New Roman" w:hAnsi="Times New Roman" w:cs="Times New Roman"/>
          <w:b w:val="0"/>
        </w:rPr>
        <w:t xml:space="preserve">(финансовой) </w:t>
      </w:r>
      <w:r w:rsidRPr="006726E3">
        <w:rPr>
          <w:rFonts w:ascii="Times New Roman" w:hAnsi="Times New Roman" w:cs="Times New Roman"/>
          <w:b w:val="0"/>
        </w:rPr>
        <w:t xml:space="preserve">отчетности вследствие недобросовестных действий или ошибок; разрабатываем и проводим аудиторские процедуры в ответ на эти риски; получаем аудиторские доказательства, являющиеся достаточными и надлежащими, чтобы служить основанием для выражения нашего мнения. Риск </w:t>
      </w:r>
      <w:proofErr w:type="spellStart"/>
      <w:r w:rsidRPr="006726E3">
        <w:rPr>
          <w:rFonts w:ascii="Times New Roman" w:hAnsi="Times New Roman" w:cs="Times New Roman"/>
          <w:b w:val="0"/>
        </w:rPr>
        <w:t>необнаружения</w:t>
      </w:r>
      <w:proofErr w:type="spellEnd"/>
      <w:r w:rsidRPr="006726E3">
        <w:rPr>
          <w:rFonts w:ascii="Times New Roman" w:hAnsi="Times New Roman" w:cs="Times New Roman"/>
          <w:b w:val="0"/>
        </w:rPr>
        <w:t xml:space="preserve"> существенного искажения в результате недобросовестных действий выше, чем риск </w:t>
      </w:r>
      <w:proofErr w:type="spellStart"/>
      <w:r w:rsidRPr="006726E3">
        <w:rPr>
          <w:rFonts w:ascii="Times New Roman" w:hAnsi="Times New Roman" w:cs="Times New Roman"/>
          <w:b w:val="0"/>
        </w:rPr>
        <w:t>необнаружения</w:t>
      </w:r>
      <w:proofErr w:type="spellEnd"/>
      <w:r w:rsidRPr="006726E3">
        <w:rPr>
          <w:rFonts w:ascii="Times New Roman" w:hAnsi="Times New Roman" w:cs="Times New Roman"/>
          <w:b w:val="0"/>
        </w:rPr>
        <w:t xml:space="preserve"> существенного искажения в результате ошибки, так как недобросовестные действия могут включать сговор, подлог, умышленный пропуск, искаженное представление информации или действия в обход системы внутреннего контроля; </w:t>
      </w:r>
    </w:p>
    <w:p w:rsidR="008518AD" w:rsidRPr="006726E3" w:rsidRDefault="008518AD" w:rsidP="008518AD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6726E3">
        <w:rPr>
          <w:rFonts w:ascii="Times New Roman" w:hAnsi="Times New Roman" w:cs="Times New Roman"/>
          <w:b w:val="0"/>
        </w:rPr>
        <w:t xml:space="preserve">б) получаем понимание системы внутреннего контроля, имеющей значение для аудита, с целью разработки аудиторских процедур, соответствующих обстоятельствам, но не с целью выражения мнения об эффективности системы внутреннего контроля </w:t>
      </w:r>
      <w:proofErr w:type="spellStart"/>
      <w:r w:rsidRPr="006726E3">
        <w:rPr>
          <w:rFonts w:ascii="Times New Roman" w:hAnsi="Times New Roman" w:cs="Times New Roman"/>
          <w:b w:val="0"/>
        </w:rPr>
        <w:t>аудируемого</w:t>
      </w:r>
      <w:proofErr w:type="spellEnd"/>
      <w:r w:rsidRPr="006726E3">
        <w:rPr>
          <w:rFonts w:ascii="Times New Roman" w:hAnsi="Times New Roman" w:cs="Times New Roman"/>
          <w:b w:val="0"/>
        </w:rPr>
        <w:t xml:space="preserve"> лица;</w:t>
      </w:r>
    </w:p>
    <w:p w:rsidR="008518AD" w:rsidRPr="006726E3" w:rsidRDefault="008518AD" w:rsidP="008518AD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6726E3">
        <w:rPr>
          <w:rFonts w:ascii="Times New Roman" w:hAnsi="Times New Roman" w:cs="Times New Roman"/>
          <w:b w:val="0"/>
        </w:rPr>
        <w:t xml:space="preserve">в) оцениваем надлежащий характер применяемой учетной политики, обоснованность бухгалтерских оценок и соответствующего раскрытия информации, подготовленного руководством </w:t>
      </w:r>
      <w:proofErr w:type="spellStart"/>
      <w:r w:rsidRPr="006726E3">
        <w:rPr>
          <w:rFonts w:ascii="Times New Roman" w:hAnsi="Times New Roman" w:cs="Times New Roman"/>
          <w:b w:val="0"/>
        </w:rPr>
        <w:t>аудируемого</w:t>
      </w:r>
      <w:proofErr w:type="spellEnd"/>
      <w:r w:rsidRPr="006726E3">
        <w:rPr>
          <w:rFonts w:ascii="Times New Roman" w:hAnsi="Times New Roman" w:cs="Times New Roman"/>
          <w:b w:val="0"/>
        </w:rPr>
        <w:t xml:space="preserve"> лица; </w:t>
      </w:r>
    </w:p>
    <w:p w:rsidR="008518AD" w:rsidRPr="006726E3" w:rsidRDefault="008518AD" w:rsidP="008518AD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6726E3">
        <w:rPr>
          <w:rFonts w:ascii="Times New Roman" w:hAnsi="Times New Roman" w:cs="Times New Roman"/>
          <w:b w:val="0"/>
        </w:rPr>
        <w:t xml:space="preserve">г) делаем вывод о правомерности применения руководством </w:t>
      </w:r>
      <w:proofErr w:type="spellStart"/>
      <w:r w:rsidRPr="006726E3">
        <w:rPr>
          <w:rFonts w:ascii="Times New Roman" w:hAnsi="Times New Roman" w:cs="Times New Roman"/>
          <w:b w:val="0"/>
        </w:rPr>
        <w:t>аудируемого</w:t>
      </w:r>
      <w:proofErr w:type="spellEnd"/>
      <w:r w:rsidRPr="006726E3">
        <w:rPr>
          <w:rFonts w:ascii="Times New Roman" w:hAnsi="Times New Roman" w:cs="Times New Roman"/>
          <w:b w:val="0"/>
        </w:rPr>
        <w:t xml:space="preserve"> лица допущения о непрерывности деятельности, а на основании полученных аудиторских доказательств – вывод о том, имеется ли существенная неопределенность в связи с событиями или условиями, в результате которых могут возникнуть значительные сомнения в способности </w:t>
      </w:r>
      <w:proofErr w:type="spellStart"/>
      <w:r w:rsidRPr="006726E3">
        <w:rPr>
          <w:rFonts w:ascii="Times New Roman" w:hAnsi="Times New Roman" w:cs="Times New Roman"/>
          <w:b w:val="0"/>
        </w:rPr>
        <w:t>аудируемого</w:t>
      </w:r>
      <w:proofErr w:type="spellEnd"/>
      <w:r w:rsidRPr="006726E3">
        <w:rPr>
          <w:rFonts w:ascii="Times New Roman" w:hAnsi="Times New Roman" w:cs="Times New Roman"/>
          <w:b w:val="0"/>
        </w:rPr>
        <w:t xml:space="preserve"> лица продолжать непрерывно свою деятельность. Если мы приходим к выводу о наличии существенной неопределенности, мы должны привлечь внимание в нашем аудиторском заключении к соответствующему раскрытию информации в годовой бухгалтерской отчетности или, если такое раскрытие информации является ненадлежащим, модифицировать наше мнение. Наши выводы основаны на аудиторских доказательствах, полученных до даты нашего аудиторского заключения. </w:t>
      </w:r>
      <w:proofErr w:type="gramStart"/>
      <w:r w:rsidRPr="006726E3">
        <w:rPr>
          <w:rFonts w:ascii="Times New Roman" w:hAnsi="Times New Roman" w:cs="Times New Roman"/>
          <w:b w:val="0"/>
        </w:rPr>
        <w:t xml:space="preserve">Однако будущие события или условия могут привести к тому, что </w:t>
      </w:r>
      <w:proofErr w:type="spellStart"/>
      <w:r w:rsidRPr="006726E3">
        <w:rPr>
          <w:rFonts w:ascii="Times New Roman" w:hAnsi="Times New Roman" w:cs="Times New Roman"/>
          <w:b w:val="0"/>
        </w:rPr>
        <w:t>аудируемое</w:t>
      </w:r>
      <w:proofErr w:type="spellEnd"/>
      <w:r w:rsidRPr="006726E3">
        <w:rPr>
          <w:rFonts w:ascii="Times New Roman" w:hAnsi="Times New Roman" w:cs="Times New Roman"/>
          <w:b w:val="0"/>
        </w:rPr>
        <w:t xml:space="preserve"> лицо утратит способность продолжать непрерывно свою деятельность;</w:t>
      </w:r>
      <w:proofErr w:type="gramEnd"/>
    </w:p>
    <w:p w:rsidR="008518AD" w:rsidRPr="006726E3" w:rsidRDefault="008518AD" w:rsidP="008518AD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6726E3">
        <w:rPr>
          <w:rFonts w:ascii="Times New Roman" w:hAnsi="Times New Roman" w:cs="Times New Roman"/>
          <w:b w:val="0"/>
        </w:rPr>
        <w:t>д) проводим оценку представления годовой бухгалтерской</w:t>
      </w:r>
      <w:r w:rsidR="006C1BEF" w:rsidRPr="006726E3">
        <w:rPr>
          <w:rFonts w:ascii="Times New Roman" w:hAnsi="Times New Roman" w:cs="Times New Roman"/>
          <w:b w:val="0"/>
        </w:rPr>
        <w:t xml:space="preserve"> (финансовой)</w:t>
      </w:r>
      <w:r w:rsidRPr="006726E3">
        <w:rPr>
          <w:rFonts w:ascii="Times New Roman" w:hAnsi="Times New Roman" w:cs="Times New Roman"/>
          <w:b w:val="0"/>
        </w:rPr>
        <w:t xml:space="preserve"> отчетности в целом, ее структуры и содержания, включая раскрытие информации, а также того, представляет ли годовая бухгалтерская </w:t>
      </w:r>
      <w:r w:rsidR="00A53865" w:rsidRPr="006726E3">
        <w:rPr>
          <w:rFonts w:ascii="Times New Roman" w:hAnsi="Times New Roman" w:cs="Times New Roman"/>
          <w:b w:val="0"/>
        </w:rPr>
        <w:t xml:space="preserve">(финансовая) </w:t>
      </w:r>
      <w:r w:rsidRPr="006726E3">
        <w:rPr>
          <w:rFonts w:ascii="Times New Roman" w:hAnsi="Times New Roman" w:cs="Times New Roman"/>
          <w:b w:val="0"/>
        </w:rPr>
        <w:t>отчетность лежащие в ее основе операции и события так, чтобы было обеспечено их достоверное представление.</w:t>
      </w:r>
    </w:p>
    <w:p w:rsidR="00FE3D56" w:rsidRPr="006726E3" w:rsidRDefault="008518AD" w:rsidP="008518AD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6726E3">
        <w:rPr>
          <w:rFonts w:ascii="Times New Roman" w:hAnsi="Times New Roman" w:cs="Times New Roman"/>
          <w:b w:val="0"/>
        </w:rPr>
        <w:t xml:space="preserve">Мы осуществляем информационное взаимодействие с </w:t>
      </w:r>
      <w:r w:rsidR="00172B18" w:rsidRPr="006726E3">
        <w:rPr>
          <w:rFonts w:ascii="Times New Roman" w:hAnsi="Times New Roman" w:cs="Times New Roman"/>
          <w:b w:val="0"/>
        </w:rPr>
        <w:t>лицами, отве</w:t>
      </w:r>
      <w:r w:rsidR="00A53865" w:rsidRPr="006726E3">
        <w:rPr>
          <w:rFonts w:ascii="Times New Roman" w:hAnsi="Times New Roman" w:cs="Times New Roman"/>
          <w:b w:val="0"/>
        </w:rPr>
        <w:t>чающими</w:t>
      </w:r>
      <w:r w:rsidR="00172B18" w:rsidRPr="006726E3">
        <w:rPr>
          <w:rFonts w:ascii="Times New Roman" w:hAnsi="Times New Roman" w:cs="Times New Roman"/>
          <w:b w:val="0"/>
        </w:rPr>
        <w:t xml:space="preserve"> за корпоративное управление </w:t>
      </w:r>
      <w:proofErr w:type="spellStart"/>
      <w:r w:rsidRPr="006726E3">
        <w:rPr>
          <w:rFonts w:ascii="Times New Roman" w:hAnsi="Times New Roman" w:cs="Times New Roman"/>
          <w:b w:val="0"/>
        </w:rPr>
        <w:t>аудируемого</w:t>
      </w:r>
      <w:proofErr w:type="spellEnd"/>
      <w:r w:rsidRPr="006726E3">
        <w:rPr>
          <w:rFonts w:ascii="Times New Roman" w:hAnsi="Times New Roman" w:cs="Times New Roman"/>
          <w:b w:val="0"/>
        </w:rPr>
        <w:t xml:space="preserve"> лица, доводя до их сведения, помимо прочего, информацию о запланированном объеме и сроках аудита, а также о существенных замечаниях по результатам аудита, в том числе о значительных недостатках системы внутреннего контроля, которые мы выявляем в процессе аудита.</w:t>
      </w:r>
    </w:p>
    <w:p w:rsidR="00352B9F" w:rsidRPr="006726E3" w:rsidRDefault="00F76D1F" w:rsidP="00352B9F">
      <w:pPr>
        <w:jc w:val="both"/>
      </w:pPr>
      <w:r w:rsidRPr="006726E3">
        <w:tab/>
      </w:r>
      <w:proofErr w:type="gramStart"/>
      <w:r w:rsidR="00352B9F" w:rsidRPr="006726E3">
        <w:t>Мы также предоставляем лицам, отве</w:t>
      </w:r>
      <w:r w:rsidR="00A53865" w:rsidRPr="006726E3">
        <w:t>чающим</w:t>
      </w:r>
      <w:r w:rsidR="00352B9F" w:rsidRPr="006726E3">
        <w:t xml:space="preserve"> за корпоративное управление </w:t>
      </w:r>
      <w:proofErr w:type="spellStart"/>
      <w:r w:rsidR="00352B9F" w:rsidRPr="006726E3">
        <w:t>аудируемого</w:t>
      </w:r>
      <w:proofErr w:type="spellEnd"/>
      <w:r w:rsidR="00352B9F" w:rsidRPr="006726E3">
        <w:t xml:space="preserve"> лица</w:t>
      </w:r>
      <w:r w:rsidR="00A53865" w:rsidRPr="006726E3">
        <w:t>,</w:t>
      </w:r>
      <w:r w:rsidR="00352B9F" w:rsidRPr="006726E3">
        <w:t xml:space="preserve"> заявление</w:t>
      </w:r>
      <w:r w:rsidR="00A53865" w:rsidRPr="006726E3">
        <w:t xml:space="preserve">, в котором указывается, </w:t>
      </w:r>
      <w:r w:rsidR="00352B9F" w:rsidRPr="006726E3">
        <w:t>что мы соблюдали все соответствующие этические требования в отношении независимости и информировали этих лиц обо всех взаимоотношениях и прочих вопросах, которые можно обоснованно считать оказывающими влияние на независимость аудитора, а в необходимых случаях – о соответствующих мерах предосторожности.</w:t>
      </w:r>
      <w:proofErr w:type="gramEnd"/>
    </w:p>
    <w:p w:rsidR="00352B9F" w:rsidRPr="006726E3" w:rsidRDefault="00352B9F" w:rsidP="00352B9F">
      <w:pPr>
        <w:pStyle w:val="ConsPlusNormal"/>
        <w:jc w:val="both"/>
        <w:rPr>
          <w:rFonts w:ascii="Times New Roman" w:hAnsi="Times New Roman" w:cs="Times New Roman"/>
          <w:b w:val="0"/>
        </w:rPr>
      </w:pPr>
      <w:r w:rsidRPr="006726E3">
        <w:rPr>
          <w:rFonts w:ascii="Times New Roman" w:hAnsi="Times New Roman" w:cs="Times New Roman"/>
          <w:b w:val="0"/>
        </w:rPr>
        <w:tab/>
        <w:t>Из тех вопросов, которые мы довели до сведения лиц, отве</w:t>
      </w:r>
      <w:r w:rsidR="00A53865" w:rsidRPr="006726E3">
        <w:rPr>
          <w:rFonts w:ascii="Times New Roman" w:hAnsi="Times New Roman" w:cs="Times New Roman"/>
          <w:b w:val="0"/>
        </w:rPr>
        <w:t>чающих</w:t>
      </w:r>
      <w:r w:rsidRPr="006726E3">
        <w:rPr>
          <w:rFonts w:ascii="Times New Roman" w:hAnsi="Times New Roman" w:cs="Times New Roman"/>
          <w:b w:val="0"/>
        </w:rPr>
        <w:t xml:space="preserve"> за корпоративное управление </w:t>
      </w:r>
      <w:proofErr w:type="spellStart"/>
      <w:r w:rsidRPr="006726E3">
        <w:rPr>
          <w:rFonts w:ascii="Times New Roman" w:hAnsi="Times New Roman" w:cs="Times New Roman"/>
          <w:b w:val="0"/>
        </w:rPr>
        <w:t>аудируемого</w:t>
      </w:r>
      <w:proofErr w:type="spellEnd"/>
      <w:r w:rsidRPr="006726E3">
        <w:rPr>
          <w:rFonts w:ascii="Times New Roman" w:hAnsi="Times New Roman" w:cs="Times New Roman"/>
          <w:b w:val="0"/>
        </w:rPr>
        <w:t xml:space="preserve"> лица, мы определили вопросы</w:t>
      </w:r>
      <w:r w:rsidR="00A53865" w:rsidRPr="006726E3">
        <w:rPr>
          <w:rFonts w:ascii="Times New Roman" w:hAnsi="Times New Roman" w:cs="Times New Roman"/>
          <w:b w:val="0"/>
        </w:rPr>
        <w:t>,</w:t>
      </w:r>
      <w:r w:rsidRPr="006726E3">
        <w:rPr>
          <w:rFonts w:ascii="Times New Roman" w:hAnsi="Times New Roman" w:cs="Times New Roman"/>
          <w:b w:val="0"/>
        </w:rPr>
        <w:t xml:space="preserve"> которые были </w:t>
      </w:r>
      <w:r w:rsidRPr="006726E3">
        <w:rPr>
          <w:rFonts w:ascii="Times New Roman" w:hAnsi="Times New Roman" w:cs="Times New Roman"/>
          <w:b w:val="0"/>
        </w:rPr>
        <w:lastRenderedPageBreak/>
        <w:t>наиболее значимы для аудита годовой бухгалтерской</w:t>
      </w:r>
      <w:r w:rsidR="00A53865" w:rsidRPr="006726E3">
        <w:rPr>
          <w:rFonts w:ascii="Times New Roman" w:hAnsi="Times New Roman" w:cs="Times New Roman"/>
          <w:b w:val="0"/>
        </w:rPr>
        <w:t xml:space="preserve"> (финансовой)</w:t>
      </w:r>
      <w:r w:rsidRPr="006726E3">
        <w:rPr>
          <w:rFonts w:ascii="Times New Roman" w:hAnsi="Times New Roman" w:cs="Times New Roman"/>
          <w:b w:val="0"/>
        </w:rPr>
        <w:t xml:space="preserve"> отчетности за текущий период и, следовательно, являются ключевыми вопросами аудита. </w:t>
      </w:r>
      <w:proofErr w:type="gramStart"/>
      <w:r w:rsidRPr="006726E3">
        <w:rPr>
          <w:rFonts w:ascii="Times New Roman" w:hAnsi="Times New Roman" w:cs="Times New Roman"/>
          <w:b w:val="0"/>
        </w:rPr>
        <w:t>Мы описываем эти вопросы в нашем аудиторском заключении, кроме случаев, когда публичное раскрытие информации об этих вопросах запрещено законом или нормативным актом, или когда в крайне редких случаях мы приходим к выводу о том, что информация о каком-либо вопросе не должна быть сообщена в нашем заключении, так как можно обоснованно предположить, что отрицательные последствия сообщения такой информации превысят общественно значимую</w:t>
      </w:r>
      <w:proofErr w:type="gramEnd"/>
      <w:r w:rsidRPr="006726E3">
        <w:rPr>
          <w:rFonts w:ascii="Times New Roman" w:hAnsi="Times New Roman" w:cs="Times New Roman"/>
          <w:b w:val="0"/>
        </w:rPr>
        <w:t xml:space="preserve"> пользу от ее сообщения.</w:t>
      </w:r>
    </w:p>
    <w:p w:rsidR="00BE6AE1" w:rsidRPr="006726E3" w:rsidRDefault="00BE6AE1" w:rsidP="00BE6AE1">
      <w:pPr>
        <w:pStyle w:val="ConsPlusNormal"/>
        <w:jc w:val="both"/>
        <w:rPr>
          <w:rFonts w:ascii="Times New Roman" w:hAnsi="Times New Roman" w:cs="Times New Roman"/>
          <w:b w:val="0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588"/>
        <w:gridCol w:w="3060"/>
      </w:tblGrid>
      <w:tr w:rsidR="00BE6AE1" w:rsidRPr="007C5DC2" w:rsidTr="00AD1EDE">
        <w:trPr>
          <w:trHeight w:val="406"/>
        </w:trPr>
        <w:tc>
          <w:tcPr>
            <w:tcW w:w="6588" w:type="dxa"/>
          </w:tcPr>
          <w:p w:rsidR="00BE6AE1" w:rsidRPr="00F91435" w:rsidRDefault="00BE6AE1" w:rsidP="00BE6AE1">
            <w:pPr>
              <w:pStyle w:val="a3"/>
              <w:ind w:right="22"/>
              <w:jc w:val="both"/>
              <w:rPr>
                <w:sz w:val="24"/>
                <w:highlight w:val="cyan"/>
              </w:rPr>
            </w:pPr>
          </w:p>
        </w:tc>
        <w:tc>
          <w:tcPr>
            <w:tcW w:w="3060" w:type="dxa"/>
          </w:tcPr>
          <w:p w:rsidR="00BE6AE1" w:rsidRPr="00F76D1F" w:rsidRDefault="00BE6AE1" w:rsidP="00BE6AE1">
            <w:pPr>
              <w:pStyle w:val="a3"/>
              <w:ind w:right="22"/>
              <w:jc w:val="both"/>
              <w:rPr>
                <w:sz w:val="24"/>
                <w:highlight w:val="cyan"/>
              </w:rPr>
            </w:pPr>
          </w:p>
        </w:tc>
      </w:tr>
      <w:tr w:rsidR="00BE6AE1" w:rsidTr="00BE6AE1">
        <w:trPr>
          <w:trHeight w:val="796"/>
        </w:trPr>
        <w:tc>
          <w:tcPr>
            <w:tcW w:w="6588" w:type="dxa"/>
          </w:tcPr>
          <w:p w:rsidR="008B2927" w:rsidRPr="008B2927" w:rsidRDefault="00BE6AE1" w:rsidP="008B2927">
            <w:pPr>
              <w:jc w:val="both"/>
              <w:rPr>
                <w:b/>
              </w:rPr>
            </w:pPr>
            <w:r w:rsidRPr="008B2927">
              <w:rPr>
                <w:b/>
              </w:rPr>
              <w:t>Руководитель задания</w:t>
            </w:r>
            <w:r w:rsidR="00EE7BAB" w:rsidRPr="008B2927">
              <w:rPr>
                <w:b/>
              </w:rPr>
              <w:t xml:space="preserve"> по аудиту</w:t>
            </w:r>
            <w:r w:rsidR="008B2927" w:rsidRPr="008B2927">
              <w:rPr>
                <w:b/>
              </w:rPr>
              <w:t xml:space="preserve">, </w:t>
            </w:r>
          </w:p>
          <w:p w:rsidR="008B2927" w:rsidRPr="008B2927" w:rsidRDefault="008B2927" w:rsidP="008B2927">
            <w:pPr>
              <w:jc w:val="both"/>
              <w:rPr>
                <w:b/>
              </w:rPr>
            </w:pPr>
            <w:r w:rsidRPr="008B2927">
              <w:rPr>
                <w:b/>
              </w:rPr>
              <w:t xml:space="preserve">по </w:t>
            </w:r>
            <w:proofErr w:type="gramStart"/>
            <w:r w:rsidRPr="008B2927">
              <w:rPr>
                <w:b/>
              </w:rPr>
              <w:t>результатам</w:t>
            </w:r>
            <w:proofErr w:type="gramEnd"/>
            <w:r w:rsidRPr="008B2927">
              <w:rPr>
                <w:b/>
              </w:rPr>
              <w:t xml:space="preserve"> которого составлено </w:t>
            </w:r>
          </w:p>
          <w:p w:rsidR="00BE6AE1" w:rsidRPr="00F91435" w:rsidRDefault="008B2927" w:rsidP="008B2927">
            <w:pPr>
              <w:pStyle w:val="a3"/>
              <w:ind w:right="22"/>
              <w:jc w:val="both"/>
              <w:rPr>
                <w:sz w:val="24"/>
              </w:rPr>
            </w:pPr>
            <w:r w:rsidRPr="008B2927">
              <w:rPr>
                <w:sz w:val="24"/>
                <w:szCs w:val="24"/>
              </w:rPr>
              <w:t>аудиторское заключение</w:t>
            </w:r>
            <w:r w:rsidR="00BE6AE1" w:rsidRPr="00F91435">
              <w:rPr>
                <w:sz w:val="24"/>
              </w:rPr>
              <w:t xml:space="preserve"> </w:t>
            </w:r>
          </w:p>
        </w:tc>
        <w:tc>
          <w:tcPr>
            <w:tcW w:w="3060" w:type="dxa"/>
          </w:tcPr>
          <w:p w:rsidR="00314C97" w:rsidRDefault="00314C97" w:rsidP="00314C97">
            <w:pPr>
              <w:pStyle w:val="a3"/>
              <w:jc w:val="both"/>
              <w:rPr>
                <w:sz w:val="24"/>
              </w:rPr>
            </w:pPr>
          </w:p>
          <w:p w:rsidR="00314C97" w:rsidRDefault="00314C97" w:rsidP="00314C97">
            <w:pPr>
              <w:pStyle w:val="a3"/>
              <w:jc w:val="both"/>
              <w:rPr>
                <w:sz w:val="24"/>
              </w:rPr>
            </w:pPr>
          </w:p>
          <w:p w:rsidR="00BE6AE1" w:rsidRDefault="00314C97" w:rsidP="00314C97">
            <w:pPr>
              <w:pStyle w:val="a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О.Ю. </w:t>
            </w:r>
            <w:r w:rsidR="00312EEB">
              <w:rPr>
                <w:sz w:val="24"/>
              </w:rPr>
              <w:t xml:space="preserve">Савельева </w:t>
            </w:r>
          </w:p>
        </w:tc>
      </w:tr>
      <w:tr w:rsidR="008518AD" w:rsidTr="00BE6AE1">
        <w:trPr>
          <w:trHeight w:val="796"/>
        </w:trPr>
        <w:tc>
          <w:tcPr>
            <w:tcW w:w="6588" w:type="dxa"/>
          </w:tcPr>
          <w:p w:rsidR="00172B18" w:rsidRDefault="00172B18" w:rsidP="00172B18">
            <w:pPr>
              <w:pStyle w:val="ConsPlusNormal"/>
              <w:jc w:val="both"/>
              <w:rPr>
                <w:rFonts w:ascii="Times New Roman" w:hAnsi="Times New Roman" w:cs="Times New Roman"/>
                <w:b w:val="0"/>
              </w:rPr>
            </w:pPr>
          </w:p>
          <w:p w:rsidR="00172B18" w:rsidRPr="00CC36D4" w:rsidRDefault="00A53865" w:rsidP="00172B18">
            <w:pPr>
              <w:pStyle w:val="ConsPlusNormal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29</w:t>
            </w:r>
            <w:r w:rsidR="00312EEB">
              <w:rPr>
                <w:rFonts w:ascii="Times New Roman" w:hAnsi="Times New Roman" w:cs="Times New Roman"/>
                <w:b w:val="0"/>
              </w:rPr>
              <w:t xml:space="preserve"> марта</w:t>
            </w:r>
            <w:r w:rsidR="00172B18" w:rsidRPr="00CC36D4">
              <w:rPr>
                <w:rFonts w:ascii="Times New Roman" w:hAnsi="Times New Roman" w:cs="Times New Roman"/>
                <w:b w:val="0"/>
              </w:rPr>
              <w:t xml:space="preserve"> 20</w:t>
            </w:r>
            <w:r w:rsidR="00172B18">
              <w:rPr>
                <w:rFonts w:ascii="Times New Roman" w:hAnsi="Times New Roman" w:cs="Times New Roman"/>
                <w:b w:val="0"/>
              </w:rPr>
              <w:t>1</w:t>
            </w:r>
            <w:r>
              <w:rPr>
                <w:rFonts w:ascii="Times New Roman" w:hAnsi="Times New Roman" w:cs="Times New Roman"/>
                <w:b w:val="0"/>
              </w:rPr>
              <w:t>9</w:t>
            </w:r>
            <w:r w:rsidR="00172B18" w:rsidRPr="00CC36D4">
              <w:rPr>
                <w:rFonts w:ascii="Times New Roman" w:hAnsi="Times New Roman" w:cs="Times New Roman"/>
                <w:b w:val="0"/>
              </w:rPr>
              <w:t xml:space="preserve"> г</w:t>
            </w:r>
            <w:r w:rsidR="00172B18">
              <w:rPr>
                <w:rFonts w:ascii="Times New Roman" w:hAnsi="Times New Roman" w:cs="Times New Roman"/>
                <w:b w:val="0"/>
              </w:rPr>
              <w:t>ода</w:t>
            </w:r>
          </w:p>
          <w:p w:rsidR="008518AD" w:rsidRDefault="008518AD" w:rsidP="008518AD">
            <w:pPr>
              <w:pStyle w:val="a3"/>
              <w:ind w:right="22"/>
              <w:jc w:val="both"/>
              <w:rPr>
                <w:sz w:val="24"/>
              </w:rPr>
            </w:pPr>
          </w:p>
        </w:tc>
        <w:tc>
          <w:tcPr>
            <w:tcW w:w="3060" w:type="dxa"/>
          </w:tcPr>
          <w:p w:rsidR="008518AD" w:rsidRDefault="008518AD" w:rsidP="008518AD">
            <w:pPr>
              <w:pStyle w:val="a3"/>
              <w:jc w:val="both"/>
              <w:rPr>
                <w:sz w:val="24"/>
              </w:rPr>
            </w:pPr>
          </w:p>
        </w:tc>
      </w:tr>
    </w:tbl>
    <w:p w:rsidR="00071A1F" w:rsidRDefault="00071A1F" w:rsidP="00676C86">
      <w:pPr>
        <w:pStyle w:val="4"/>
        <w:spacing w:before="0" w:after="0"/>
        <w:jc w:val="both"/>
        <w:rPr>
          <w:sz w:val="20"/>
          <w:szCs w:val="20"/>
        </w:rPr>
      </w:pPr>
      <w:r w:rsidRPr="00071A1F">
        <w:rPr>
          <w:sz w:val="20"/>
          <w:szCs w:val="20"/>
        </w:rPr>
        <w:t>Сведения о</w:t>
      </w:r>
      <w:r w:rsidR="00172B18">
        <w:rPr>
          <w:sz w:val="20"/>
          <w:szCs w:val="20"/>
        </w:rPr>
        <w:t xml:space="preserve">б </w:t>
      </w:r>
      <w:proofErr w:type="spellStart"/>
      <w:r w:rsidR="00172B18">
        <w:rPr>
          <w:sz w:val="20"/>
          <w:szCs w:val="20"/>
        </w:rPr>
        <w:t>аудируемом</w:t>
      </w:r>
      <w:proofErr w:type="spellEnd"/>
      <w:r w:rsidRPr="00071A1F">
        <w:rPr>
          <w:sz w:val="20"/>
          <w:szCs w:val="20"/>
        </w:rPr>
        <w:t xml:space="preserve"> лице</w:t>
      </w:r>
    </w:p>
    <w:p w:rsidR="00071A1F" w:rsidRPr="00676C86" w:rsidRDefault="00071A1F" w:rsidP="00676C86">
      <w:pPr>
        <w:jc w:val="both"/>
        <w:rPr>
          <w:sz w:val="20"/>
          <w:szCs w:val="20"/>
        </w:rPr>
      </w:pPr>
      <w:r w:rsidRPr="00676C86">
        <w:rPr>
          <w:sz w:val="20"/>
          <w:szCs w:val="20"/>
        </w:rPr>
        <w:t xml:space="preserve">Наименование: </w:t>
      </w:r>
      <w:r w:rsidR="00312EEB">
        <w:rPr>
          <w:sz w:val="20"/>
          <w:szCs w:val="20"/>
        </w:rPr>
        <w:t>Публичное</w:t>
      </w:r>
      <w:r w:rsidR="00020894">
        <w:rPr>
          <w:sz w:val="20"/>
          <w:szCs w:val="20"/>
        </w:rPr>
        <w:t xml:space="preserve"> акционерное общество</w:t>
      </w:r>
      <w:r w:rsidRPr="00676C86">
        <w:rPr>
          <w:sz w:val="20"/>
          <w:szCs w:val="20"/>
        </w:rPr>
        <w:t xml:space="preserve"> «</w:t>
      </w:r>
      <w:r w:rsidR="00312EEB">
        <w:rPr>
          <w:sz w:val="20"/>
          <w:szCs w:val="20"/>
        </w:rPr>
        <w:t>Красный Октябрь</w:t>
      </w:r>
      <w:r w:rsidRPr="00676C86">
        <w:rPr>
          <w:sz w:val="20"/>
          <w:szCs w:val="20"/>
        </w:rPr>
        <w:t xml:space="preserve">». </w:t>
      </w:r>
    </w:p>
    <w:p w:rsidR="00874880" w:rsidRPr="00874880" w:rsidRDefault="00071A1F" w:rsidP="00874880">
      <w:pPr>
        <w:jc w:val="both"/>
        <w:rPr>
          <w:sz w:val="20"/>
          <w:szCs w:val="20"/>
        </w:rPr>
      </w:pPr>
      <w:r w:rsidRPr="00676C86">
        <w:rPr>
          <w:sz w:val="20"/>
          <w:szCs w:val="20"/>
        </w:rPr>
        <w:t xml:space="preserve">Государственная регистрация: </w:t>
      </w:r>
      <w:r w:rsidR="00874880" w:rsidRPr="00874880">
        <w:rPr>
          <w:sz w:val="20"/>
          <w:szCs w:val="20"/>
        </w:rPr>
        <w:t xml:space="preserve">основной государственный регистрационный номер 1027700247618, свидетельство о внесении записи в Единый государственный реестр юридических лиц серии 77 № 005425600, дата внесения записи 25 сентября 2002 года. </w:t>
      </w:r>
    </w:p>
    <w:p w:rsidR="00874880" w:rsidRPr="00874880" w:rsidRDefault="00071A1F" w:rsidP="00874880">
      <w:pPr>
        <w:jc w:val="both"/>
        <w:rPr>
          <w:b/>
          <w:sz w:val="20"/>
          <w:szCs w:val="20"/>
        </w:rPr>
      </w:pPr>
      <w:r w:rsidRPr="00676C86">
        <w:rPr>
          <w:sz w:val="20"/>
          <w:szCs w:val="20"/>
        </w:rPr>
        <w:t xml:space="preserve">Место нахождения: </w:t>
      </w:r>
      <w:smartTag w:uri="urn:schemas-microsoft-com:office:smarttags" w:element="metricconverter">
        <w:smartTagPr>
          <w:attr w:name="ProductID" w:val="107140, г"/>
        </w:smartTagPr>
        <w:r w:rsidR="00874880" w:rsidRPr="00874880">
          <w:rPr>
            <w:sz w:val="20"/>
            <w:szCs w:val="20"/>
          </w:rPr>
          <w:t>107140, г</w:t>
        </w:r>
      </w:smartTag>
      <w:r w:rsidR="00874880" w:rsidRPr="00874880">
        <w:rPr>
          <w:sz w:val="20"/>
          <w:szCs w:val="20"/>
        </w:rPr>
        <w:t xml:space="preserve">. Москва, ул. Малая </w:t>
      </w:r>
      <w:proofErr w:type="spellStart"/>
      <w:r w:rsidR="00874880" w:rsidRPr="00874880">
        <w:rPr>
          <w:sz w:val="20"/>
          <w:szCs w:val="20"/>
        </w:rPr>
        <w:t>Красносельская</w:t>
      </w:r>
      <w:proofErr w:type="spellEnd"/>
      <w:r w:rsidR="00874880" w:rsidRPr="00874880">
        <w:rPr>
          <w:sz w:val="20"/>
          <w:szCs w:val="20"/>
        </w:rPr>
        <w:t>, д. 7, стр. 24.</w:t>
      </w:r>
    </w:p>
    <w:p w:rsidR="008E20F4" w:rsidRPr="00676C86" w:rsidRDefault="008E20F4" w:rsidP="00874880">
      <w:pPr>
        <w:jc w:val="both"/>
        <w:rPr>
          <w:b/>
          <w:sz w:val="20"/>
          <w:szCs w:val="20"/>
        </w:rPr>
      </w:pPr>
    </w:p>
    <w:p w:rsidR="00071A1F" w:rsidRDefault="00071A1F" w:rsidP="00676C86">
      <w:pPr>
        <w:jc w:val="both"/>
        <w:rPr>
          <w:b/>
          <w:sz w:val="20"/>
          <w:szCs w:val="20"/>
        </w:rPr>
      </w:pPr>
      <w:r w:rsidRPr="00676C86">
        <w:rPr>
          <w:b/>
          <w:sz w:val="20"/>
          <w:szCs w:val="20"/>
        </w:rPr>
        <w:t>Сведения об аудиторе</w:t>
      </w:r>
    </w:p>
    <w:p w:rsidR="00071A1F" w:rsidRPr="00676C86" w:rsidRDefault="00071A1F" w:rsidP="00676C86">
      <w:pPr>
        <w:jc w:val="both"/>
        <w:rPr>
          <w:sz w:val="20"/>
          <w:szCs w:val="20"/>
        </w:rPr>
      </w:pPr>
      <w:r w:rsidRPr="00676C86">
        <w:rPr>
          <w:sz w:val="20"/>
          <w:szCs w:val="20"/>
        </w:rPr>
        <w:t>Наименование: З</w:t>
      </w:r>
      <w:r w:rsidR="007E0DDC">
        <w:rPr>
          <w:sz w:val="20"/>
          <w:szCs w:val="20"/>
        </w:rPr>
        <w:t>акрытое акционерное общество</w:t>
      </w:r>
      <w:r w:rsidRPr="00676C86">
        <w:rPr>
          <w:sz w:val="20"/>
          <w:szCs w:val="20"/>
        </w:rPr>
        <w:t xml:space="preserve"> «АУДИТ-КОНСТАНТА».</w:t>
      </w:r>
    </w:p>
    <w:p w:rsidR="00071A1F" w:rsidRPr="00676C86" w:rsidRDefault="00071A1F" w:rsidP="00676C86">
      <w:pPr>
        <w:jc w:val="both"/>
        <w:rPr>
          <w:sz w:val="20"/>
          <w:szCs w:val="20"/>
        </w:rPr>
      </w:pPr>
      <w:r w:rsidRPr="00676C86">
        <w:rPr>
          <w:sz w:val="20"/>
          <w:szCs w:val="20"/>
        </w:rPr>
        <w:t xml:space="preserve">Государственная регистрация: основной государственный регистрационный номер 1027739295210, </w:t>
      </w:r>
      <w:r w:rsidR="00676C86">
        <w:rPr>
          <w:sz w:val="20"/>
          <w:szCs w:val="20"/>
        </w:rPr>
        <w:t>дата внесения</w:t>
      </w:r>
      <w:r w:rsidRPr="00676C86">
        <w:rPr>
          <w:sz w:val="20"/>
          <w:szCs w:val="20"/>
        </w:rPr>
        <w:t xml:space="preserve"> записи в Единый государственный реестр юридических лиц 2 октября 2002 года. </w:t>
      </w:r>
    </w:p>
    <w:p w:rsidR="00071A1F" w:rsidRPr="00676C86" w:rsidRDefault="00071A1F" w:rsidP="00676C86">
      <w:pPr>
        <w:jc w:val="both"/>
        <w:rPr>
          <w:sz w:val="20"/>
          <w:szCs w:val="20"/>
        </w:rPr>
      </w:pPr>
      <w:proofErr w:type="gramStart"/>
      <w:r w:rsidRPr="00676C86">
        <w:rPr>
          <w:sz w:val="20"/>
          <w:szCs w:val="20"/>
        </w:rPr>
        <w:t>Место нахождения: 109012, г. Москва, ул. Пушечная, д. 4, стр. 3.</w:t>
      </w:r>
      <w:proofErr w:type="gramEnd"/>
    </w:p>
    <w:p w:rsidR="00682404" w:rsidRPr="00676C86" w:rsidRDefault="00071A1F" w:rsidP="00F31531">
      <w:pPr>
        <w:jc w:val="both"/>
        <w:rPr>
          <w:sz w:val="20"/>
          <w:szCs w:val="20"/>
        </w:rPr>
      </w:pPr>
      <w:r w:rsidRPr="00676C86">
        <w:rPr>
          <w:sz w:val="20"/>
          <w:szCs w:val="20"/>
        </w:rPr>
        <w:t xml:space="preserve">Членство в саморегулируемых организациях аудиторов: </w:t>
      </w:r>
      <w:r w:rsidR="007E0DDC" w:rsidRPr="00676C86">
        <w:rPr>
          <w:sz w:val="20"/>
          <w:szCs w:val="20"/>
        </w:rPr>
        <w:t>З</w:t>
      </w:r>
      <w:r w:rsidR="007E0DDC">
        <w:rPr>
          <w:sz w:val="20"/>
          <w:szCs w:val="20"/>
        </w:rPr>
        <w:t>акрытое акционерное общество</w:t>
      </w:r>
      <w:r w:rsidRPr="00676C86">
        <w:rPr>
          <w:sz w:val="20"/>
          <w:szCs w:val="20"/>
        </w:rPr>
        <w:t xml:space="preserve"> «АУДИТ-КОНСТАНТА» является членом саморегулируемой организации аудиторов «Российский Союз аудиторов» (Ассоциация), ОРНЗ 10303001190.</w:t>
      </w:r>
    </w:p>
    <w:sectPr w:rsidR="00682404" w:rsidRPr="00676C86" w:rsidSect="00B26B3F">
      <w:footerReference w:type="even" r:id="rId9"/>
      <w:footerReference w:type="default" r:id="rId10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52D" w:rsidRDefault="0089552D">
      <w:r>
        <w:separator/>
      </w:r>
    </w:p>
  </w:endnote>
  <w:endnote w:type="continuationSeparator" w:id="0">
    <w:p w:rsidR="0089552D" w:rsidRDefault="00895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52D" w:rsidRDefault="0089552D" w:rsidP="00BF1A5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9552D" w:rsidRDefault="0089552D" w:rsidP="0048097F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52D" w:rsidRDefault="0089552D" w:rsidP="00BF1A5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B0C63">
      <w:rPr>
        <w:rStyle w:val="a9"/>
        <w:noProof/>
      </w:rPr>
      <w:t>2</w:t>
    </w:r>
    <w:r>
      <w:rPr>
        <w:rStyle w:val="a9"/>
      </w:rPr>
      <w:fldChar w:fldCharType="end"/>
    </w:r>
  </w:p>
  <w:p w:rsidR="0089552D" w:rsidRDefault="0089552D" w:rsidP="0048097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52D" w:rsidRDefault="0089552D">
      <w:r>
        <w:separator/>
      </w:r>
    </w:p>
  </w:footnote>
  <w:footnote w:type="continuationSeparator" w:id="0">
    <w:p w:rsidR="0089552D" w:rsidRDefault="00895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87024"/>
    <w:multiLevelType w:val="hybridMultilevel"/>
    <w:tmpl w:val="CC38F5C6"/>
    <w:lvl w:ilvl="0" w:tplc="04B636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D9F"/>
    <w:rsid w:val="00001258"/>
    <w:rsid w:val="000016D4"/>
    <w:rsid w:val="00004642"/>
    <w:rsid w:val="00004783"/>
    <w:rsid w:val="0001068A"/>
    <w:rsid w:val="00013847"/>
    <w:rsid w:val="00014827"/>
    <w:rsid w:val="00014D42"/>
    <w:rsid w:val="00014D7A"/>
    <w:rsid w:val="00020894"/>
    <w:rsid w:val="00026B84"/>
    <w:rsid w:val="00031CF7"/>
    <w:rsid w:val="0003225B"/>
    <w:rsid w:val="000329D1"/>
    <w:rsid w:val="000329FA"/>
    <w:rsid w:val="00032E3E"/>
    <w:rsid w:val="00033B7E"/>
    <w:rsid w:val="00033F8F"/>
    <w:rsid w:val="00036953"/>
    <w:rsid w:val="0004470B"/>
    <w:rsid w:val="00053FDA"/>
    <w:rsid w:val="000662AE"/>
    <w:rsid w:val="00067299"/>
    <w:rsid w:val="00070145"/>
    <w:rsid w:val="00071A1F"/>
    <w:rsid w:val="0008447B"/>
    <w:rsid w:val="00087315"/>
    <w:rsid w:val="000A15B0"/>
    <w:rsid w:val="000A174D"/>
    <w:rsid w:val="000A182A"/>
    <w:rsid w:val="000A3449"/>
    <w:rsid w:val="000A3882"/>
    <w:rsid w:val="000A42C1"/>
    <w:rsid w:val="000B7A21"/>
    <w:rsid w:val="000C6568"/>
    <w:rsid w:val="000D1E5D"/>
    <w:rsid w:val="000D2133"/>
    <w:rsid w:val="000E1038"/>
    <w:rsid w:val="000E10C7"/>
    <w:rsid w:val="000E3987"/>
    <w:rsid w:val="000E4B0A"/>
    <w:rsid w:val="000E4F85"/>
    <w:rsid w:val="000E6E76"/>
    <w:rsid w:val="000F1328"/>
    <w:rsid w:val="000F3EB3"/>
    <w:rsid w:val="00112446"/>
    <w:rsid w:val="001129DB"/>
    <w:rsid w:val="001216AE"/>
    <w:rsid w:val="00125F25"/>
    <w:rsid w:val="00127862"/>
    <w:rsid w:val="00130344"/>
    <w:rsid w:val="00134A96"/>
    <w:rsid w:val="001367D8"/>
    <w:rsid w:val="00137DF3"/>
    <w:rsid w:val="00141542"/>
    <w:rsid w:val="00143F74"/>
    <w:rsid w:val="00151260"/>
    <w:rsid w:val="00161948"/>
    <w:rsid w:val="00165900"/>
    <w:rsid w:val="0017025E"/>
    <w:rsid w:val="0017058B"/>
    <w:rsid w:val="00172B18"/>
    <w:rsid w:val="00173C16"/>
    <w:rsid w:val="00175345"/>
    <w:rsid w:val="00184AE6"/>
    <w:rsid w:val="001A0093"/>
    <w:rsid w:val="001A0D1E"/>
    <w:rsid w:val="001A0E94"/>
    <w:rsid w:val="001A1F2C"/>
    <w:rsid w:val="001A4417"/>
    <w:rsid w:val="001B0D4A"/>
    <w:rsid w:val="001B1F20"/>
    <w:rsid w:val="001B3AF9"/>
    <w:rsid w:val="001B6FF2"/>
    <w:rsid w:val="001C14FE"/>
    <w:rsid w:val="001C4BA1"/>
    <w:rsid w:val="001E031E"/>
    <w:rsid w:val="001E2D24"/>
    <w:rsid w:val="001E3403"/>
    <w:rsid w:val="001E549D"/>
    <w:rsid w:val="001F47C5"/>
    <w:rsid w:val="001F4B52"/>
    <w:rsid w:val="001F615A"/>
    <w:rsid w:val="0020134C"/>
    <w:rsid w:val="00203ABE"/>
    <w:rsid w:val="0020556B"/>
    <w:rsid w:val="002064C0"/>
    <w:rsid w:val="00213F21"/>
    <w:rsid w:val="00215FE7"/>
    <w:rsid w:val="002217CB"/>
    <w:rsid w:val="00225ABF"/>
    <w:rsid w:val="002260EC"/>
    <w:rsid w:val="00226712"/>
    <w:rsid w:val="0022674C"/>
    <w:rsid w:val="00227E21"/>
    <w:rsid w:val="00232828"/>
    <w:rsid w:val="00234079"/>
    <w:rsid w:val="00235B04"/>
    <w:rsid w:val="00235BBB"/>
    <w:rsid w:val="00240D12"/>
    <w:rsid w:val="0024524B"/>
    <w:rsid w:val="00245FC3"/>
    <w:rsid w:val="002469E1"/>
    <w:rsid w:val="00246FC1"/>
    <w:rsid w:val="00250409"/>
    <w:rsid w:val="00256041"/>
    <w:rsid w:val="002560CA"/>
    <w:rsid w:val="00257025"/>
    <w:rsid w:val="00264FF8"/>
    <w:rsid w:val="00284683"/>
    <w:rsid w:val="0028599A"/>
    <w:rsid w:val="00286486"/>
    <w:rsid w:val="002912AA"/>
    <w:rsid w:val="002952BE"/>
    <w:rsid w:val="002969C5"/>
    <w:rsid w:val="002A3608"/>
    <w:rsid w:val="002A5EB8"/>
    <w:rsid w:val="002B35BF"/>
    <w:rsid w:val="002B3CE1"/>
    <w:rsid w:val="002C7A0A"/>
    <w:rsid w:val="002E31B3"/>
    <w:rsid w:val="002E4A6A"/>
    <w:rsid w:val="002F5BBD"/>
    <w:rsid w:val="002F673E"/>
    <w:rsid w:val="002F69E9"/>
    <w:rsid w:val="002F6A1B"/>
    <w:rsid w:val="003011A3"/>
    <w:rsid w:val="003049F9"/>
    <w:rsid w:val="00312EEB"/>
    <w:rsid w:val="00313270"/>
    <w:rsid w:val="0031357F"/>
    <w:rsid w:val="00314C97"/>
    <w:rsid w:val="0031527E"/>
    <w:rsid w:val="0032029F"/>
    <w:rsid w:val="0032120D"/>
    <w:rsid w:val="003347E3"/>
    <w:rsid w:val="00334B87"/>
    <w:rsid w:val="00342959"/>
    <w:rsid w:val="00342C42"/>
    <w:rsid w:val="00342F94"/>
    <w:rsid w:val="00352B9F"/>
    <w:rsid w:val="00357F9A"/>
    <w:rsid w:val="00364197"/>
    <w:rsid w:val="00370231"/>
    <w:rsid w:val="00374897"/>
    <w:rsid w:val="003849ED"/>
    <w:rsid w:val="003900DF"/>
    <w:rsid w:val="00393261"/>
    <w:rsid w:val="0039529E"/>
    <w:rsid w:val="00396F76"/>
    <w:rsid w:val="003B3282"/>
    <w:rsid w:val="003B3501"/>
    <w:rsid w:val="003B3E62"/>
    <w:rsid w:val="003B5F48"/>
    <w:rsid w:val="003C4011"/>
    <w:rsid w:val="003C50CA"/>
    <w:rsid w:val="003C61FD"/>
    <w:rsid w:val="003D3A7C"/>
    <w:rsid w:val="003D5800"/>
    <w:rsid w:val="003E072E"/>
    <w:rsid w:val="003E2950"/>
    <w:rsid w:val="003E2D60"/>
    <w:rsid w:val="003F0FD7"/>
    <w:rsid w:val="003F1AD5"/>
    <w:rsid w:val="00406F16"/>
    <w:rsid w:val="004136BD"/>
    <w:rsid w:val="00414E97"/>
    <w:rsid w:val="004209CE"/>
    <w:rsid w:val="004243F8"/>
    <w:rsid w:val="004278D0"/>
    <w:rsid w:val="00430D3B"/>
    <w:rsid w:val="00431389"/>
    <w:rsid w:val="004324FA"/>
    <w:rsid w:val="0043287F"/>
    <w:rsid w:val="00432DCF"/>
    <w:rsid w:val="00435AC7"/>
    <w:rsid w:val="00441285"/>
    <w:rsid w:val="00442FE1"/>
    <w:rsid w:val="0045131F"/>
    <w:rsid w:val="004577C0"/>
    <w:rsid w:val="004603CC"/>
    <w:rsid w:val="004638C6"/>
    <w:rsid w:val="0046492F"/>
    <w:rsid w:val="004655D1"/>
    <w:rsid w:val="004712AB"/>
    <w:rsid w:val="0047315E"/>
    <w:rsid w:val="0048097F"/>
    <w:rsid w:val="00485BEE"/>
    <w:rsid w:val="00490423"/>
    <w:rsid w:val="00493EBB"/>
    <w:rsid w:val="0049431D"/>
    <w:rsid w:val="0049545C"/>
    <w:rsid w:val="004A2942"/>
    <w:rsid w:val="004A49CB"/>
    <w:rsid w:val="004A50B1"/>
    <w:rsid w:val="004A6E73"/>
    <w:rsid w:val="004B0C1A"/>
    <w:rsid w:val="004C2159"/>
    <w:rsid w:val="004C3B3C"/>
    <w:rsid w:val="004C7C6C"/>
    <w:rsid w:val="004D675A"/>
    <w:rsid w:val="004E52F4"/>
    <w:rsid w:val="004E6E44"/>
    <w:rsid w:val="005026D2"/>
    <w:rsid w:val="00506973"/>
    <w:rsid w:val="0050743F"/>
    <w:rsid w:val="005100FF"/>
    <w:rsid w:val="00510713"/>
    <w:rsid w:val="00511E67"/>
    <w:rsid w:val="00523A76"/>
    <w:rsid w:val="00524586"/>
    <w:rsid w:val="005252F8"/>
    <w:rsid w:val="0053193A"/>
    <w:rsid w:val="00533ED0"/>
    <w:rsid w:val="0053528C"/>
    <w:rsid w:val="00535AC2"/>
    <w:rsid w:val="00535C0E"/>
    <w:rsid w:val="0054331E"/>
    <w:rsid w:val="005443D9"/>
    <w:rsid w:val="0054601E"/>
    <w:rsid w:val="00563DB8"/>
    <w:rsid w:val="0056451A"/>
    <w:rsid w:val="00574C4F"/>
    <w:rsid w:val="005775B1"/>
    <w:rsid w:val="0058029E"/>
    <w:rsid w:val="00584D95"/>
    <w:rsid w:val="00586CFB"/>
    <w:rsid w:val="00595B98"/>
    <w:rsid w:val="005A2C34"/>
    <w:rsid w:val="005A6396"/>
    <w:rsid w:val="005B3B8D"/>
    <w:rsid w:val="005C114D"/>
    <w:rsid w:val="005C1170"/>
    <w:rsid w:val="005C2EBF"/>
    <w:rsid w:val="005C3EF4"/>
    <w:rsid w:val="005C6121"/>
    <w:rsid w:val="005C6281"/>
    <w:rsid w:val="005C68CB"/>
    <w:rsid w:val="005C745E"/>
    <w:rsid w:val="005D297F"/>
    <w:rsid w:val="005D36EE"/>
    <w:rsid w:val="005D3C4A"/>
    <w:rsid w:val="005D53EB"/>
    <w:rsid w:val="005D6A34"/>
    <w:rsid w:val="005D7BB0"/>
    <w:rsid w:val="005F3855"/>
    <w:rsid w:val="005F6CDB"/>
    <w:rsid w:val="0060352D"/>
    <w:rsid w:val="00605509"/>
    <w:rsid w:val="00606D99"/>
    <w:rsid w:val="00612166"/>
    <w:rsid w:val="00612216"/>
    <w:rsid w:val="006249D6"/>
    <w:rsid w:val="00626604"/>
    <w:rsid w:val="00627477"/>
    <w:rsid w:val="006312FD"/>
    <w:rsid w:val="0063198D"/>
    <w:rsid w:val="0063530C"/>
    <w:rsid w:val="006378E4"/>
    <w:rsid w:val="00643FD2"/>
    <w:rsid w:val="006537B5"/>
    <w:rsid w:val="00662974"/>
    <w:rsid w:val="006705CA"/>
    <w:rsid w:val="006726E3"/>
    <w:rsid w:val="00676C86"/>
    <w:rsid w:val="00682404"/>
    <w:rsid w:val="006849CF"/>
    <w:rsid w:val="00685542"/>
    <w:rsid w:val="00685AD5"/>
    <w:rsid w:val="0068631D"/>
    <w:rsid w:val="0068738E"/>
    <w:rsid w:val="00696242"/>
    <w:rsid w:val="006A5E0D"/>
    <w:rsid w:val="006A74D6"/>
    <w:rsid w:val="006A7640"/>
    <w:rsid w:val="006B0C2F"/>
    <w:rsid w:val="006B563D"/>
    <w:rsid w:val="006C1BEF"/>
    <w:rsid w:val="006C4BDF"/>
    <w:rsid w:val="006C63DF"/>
    <w:rsid w:val="006D2694"/>
    <w:rsid w:val="006D2930"/>
    <w:rsid w:val="006D2973"/>
    <w:rsid w:val="006D54F8"/>
    <w:rsid w:val="006D7B8E"/>
    <w:rsid w:val="006F10F1"/>
    <w:rsid w:val="006F2FD9"/>
    <w:rsid w:val="006F358D"/>
    <w:rsid w:val="006F5584"/>
    <w:rsid w:val="00703108"/>
    <w:rsid w:val="0070457B"/>
    <w:rsid w:val="00706623"/>
    <w:rsid w:val="00710F96"/>
    <w:rsid w:val="00721B52"/>
    <w:rsid w:val="00722786"/>
    <w:rsid w:val="00724ABE"/>
    <w:rsid w:val="0073121F"/>
    <w:rsid w:val="007365BD"/>
    <w:rsid w:val="00736654"/>
    <w:rsid w:val="007525DD"/>
    <w:rsid w:val="00753AB3"/>
    <w:rsid w:val="00763C81"/>
    <w:rsid w:val="007665BA"/>
    <w:rsid w:val="00770B25"/>
    <w:rsid w:val="007914AA"/>
    <w:rsid w:val="00793936"/>
    <w:rsid w:val="00795A5B"/>
    <w:rsid w:val="00796829"/>
    <w:rsid w:val="00796BFA"/>
    <w:rsid w:val="007A1578"/>
    <w:rsid w:val="007A7B96"/>
    <w:rsid w:val="007B01E5"/>
    <w:rsid w:val="007B0599"/>
    <w:rsid w:val="007B566B"/>
    <w:rsid w:val="007D0386"/>
    <w:rsid w:val="007D1FCD"/>
    <w:rsid w:val="007D32A7"/>
    <w:rsid w:val="007D33DA"/>
    <w:rsid w:val="007E0DDC"/>
    <w:rsid w:val="007E435E"/>
    <w:rsid w:val="007E7548"/>
    <w:rsid w:val="007F0243"/>
    <w:rsid w:val="007F1323"/>
    <w:rsid w:val="007F21C7"/>
    <w:rsid w:val="007F3FAF"/>
    <w:rsid w:val="007F463A"/>
    <w:rsid w:val="007F6038"/>
    <w:rsid w:val="00800329"/>
    <w:rsid w:val="008109F4"/>
    <w:rsid w:val="00811E3B"/>
    <w:rsid w:val="0081449C"/>
    <w:rsid w:val="008147AC"/>
    <w:rsid w:val="00817E48"/>
    <w:rsid w:val="00821ACA"/>
    <w:rsid w:val="008221F2"/>
    <w:rsid w:val="00823B52"/>
    <w:rsid w:val="00826D4E"/>
    <w:rsid w:val="00831BB6"/>
    <w:rsid w:val="008402F6"/>
    <w:rsid w:val="00840C3E"/>
    <w:rsid w:val="00840F01"/>
    <w:rsid w:val="00843ECB"/>
    <w:rsid w:val="008454F3"/>
    <w:rsid w:val="008456A1"/>
    <w:rsid w:val="00845CEE"/>
    <w:rsid w:val="008518AD"/>
    <w:rsid w:val="00853B35"/>
    <w:rsid w:val="008567F8"/>
    <w:rsid w:val="00856A67"/>
    <w:rsid w:val="008600D2"/>
    <w:rsid w:val="008610FB"/>
    <w:rsid w:val="00861B01"/>
    <w:rsid w:val="00861DE8"/>
    <w:rsid w:val="00865F91"/>
    <w:rsid w:val="008673C8"/>
    <w:rsid w:val="00871534"/>
    <w:rsid w:val="00871863"/>
    <w:rsid w:val="00874880"/>
    <w:rsid w:val="00875284"/>
    <w:rsid w:val="00877EB2"/>
    <w:rsid w:val="008916AD"/>
    <w:rsid w:val="0089552D"/>
    <w:rsid w:val="00897069"/>
    <w:rsid w:val="008A610C"/>
    <w:rsid w:val="008B255A"/>
    <w:rsid w:val="008B2927"/>
    <w:rsid w:val="008B713A"/>
    <w:rsid w:val="008D1D11"/>
    <w:rsid w:val="008D2A26"/>
    <w:rsid w:val="008D3869"/>
    <w:rsid w:val="008D6A57"/>
    <w:rsid w:val="008E0758"/>
    <w:rsid w:val="008E20F4"/>
    <w:rsid w:val="008E5543"/>
    <w:rsid w:val="008F0E14"/>
    <w:rsid w:val="008F35FB"/>
    <w:rsid w:val="00900DEF"/>
    <w:rsid w:val="0090316C"/>
    <w:rsid w:val="00904A23"/>
    <w:rsid w:val="009050E7"/>
    <w:rsid w:val="00910D0D"/>
    <w:rsid w:val="009112FB"/>
    <w:rsid w:val="009138B0"/>
    <w:rsid w:val="00916303"/>
    <w:rsid w:val="00924234"/>
    <w:rsid w:val="009247E7"/>
    <w:rsid w:val="00932697"/>
    <w:rsid w:val="00937DB9"/>
    <w:rsid w:val="0094059F"/>
    <w:rsid w:val="009469F4"/>
    <w:rsid w:val="00953F10"/>
    <w:rsid w:val="00961D9F"/>
    <w:rsid w:val="00962094"/>
    <w:rsid w:val="00967A91"/>
    <w:rsid w:val="00976C8A"/>
    <w:rsid w:val="009772C7"/>
    <w:rsid w:val="00982CD7"/>
    <w:rsid w:val="009933A2"/>
    <w:rsid w:val="009A013E"/>
    <w:rsid w:val="009A043E"/>
    <w:rsid w:val="009B21FD"/>
    <w:rsid w:val="009B5DC1"/>
    <w:rsid w:val="009C1273"/>
    <w:rsid w:val="009D1952"/>
    <w:rsid w:val="009F798F"/>
    <w:rsid w:val="00A000D9"/>
    <w:rsid w:val="00A01862"/>
    <w:rsid w:val="00A021D3"/>
    <w:rsid w:val="00A10BE5"/>
    <w:rsid w:val="00A17372"/>
    <w:rsid w:val="00A3033E"/>
    <w:rsid w:val="00A307AD"/>
    <w:rsid w:val="00A3143E"/>
    <w:rsid w:val="00A32B48"/>
    <w:rsid w:val="00A3478C"/>
    <w:rsid w:val="00A36FA3"/>
    <w:rsid w:val="00A375EF"/>
    <w:rsid w:val="00A379D5"/>
    <w:rsid w:val="00A42931"/>
    <w:rsid w:val="00A4597B"/>
    <w:rsid w:val="00A51231"/>
    <w:rsid w:val="00A53865"/>
    <w:rsid w:val="00A61591"/>
    <w:rsid w:val="00A6418A"/>
    <w:rsid w:val="00A666EC"/>
    <w:rsid w:val="00A74B78"/>
    <w:rsid w:val="00A77DC0"/>
    <w:rsid w:val="00A8447B"/>
    <w:rsid w:val="00A86809"/>
    <w:rsid w:val="00A869C9"/>
    <w:rsid w:val="00A910F9"/>
    <w:rsid w:val="00A93E36"/>
    <w:rsid w:val="00A93E3D"/>
    <w:rsid w:val="00A966B1"/>
    <w:rsid w:val="00A97923"/>
    <w:rsid w:val="00AB3B2A"/>
    <w:rsid w:val="00AB5CD9"/>
    <w:rsid w:val="00AB6688"/>
    <w:rsid w:val="00AC388A"/>
    <w:rsid w:val="00AC4AC1"/>
    <w:rsid w:val="00AC4C0C"/>
    <w:rsid w:val="00AC70CD"/>
    <w:rsid w:val="00AD0729"/>
    <w:rsid w:val="00AD0C2A"/>
    <w:rsid w:val="00AD1EDE"/>
    <w:rsid w:val="00AD1F6C"/>
    <w:rsid w:val="00AD435C"/>
    <w:rsid w:val="00AF2497"/>
    <w:rsid w:val="00AF63E3"/>
    <w:rsid w:val="00AF79E4"/>
    <w:rsid w:val="00B11F31"/>
    <w:rsid w:val="00B17F0E"/>
    <w:rsid w:val="00B236BF"/>
    <w:rsid w:val="00B264AD"/>
    <w:rsid w:val="00B26B3F"/>
    <w:rsid w:val="00B271DD"/>
    <w:rsid w:val="00B27D77"/>
    <w:rsid w:val="00B33AD4"/>
    <w:rsid w:val="00B34C26"/>
    <w:rsid w:val="00B36225"/>
    <w:rsid w:val="00B36276"/>
    <w:rsid w:val="00B41AC8"/>
    <w:rsid w:val="00B41C5F"/>
    <w:rsid w:val="00B47CC2"/>
    <w:rsid w:val="00B55C30"/>
    <w:rsid w:val="00B5619F"/>
    <w:rsid w:val="00B601F2"/>
    <w:rsid w:val="00B649C3"/>
    <w:rsid w:val="00B65C0A"/>
    <w:rsid w:val="00B6603E"/>
    <w:rsid w:val="00B7093F"/>
    <w:rsid w:val="00B72B44"/>
    <w:rsid w:val="00B76741"/>
    <w:rsid w:val="00B77440"/>
    <w:rsid w:val="00B848A8"/>
    <w:rsid w:val="00B854F9"/>
    <w:rsid w:val="00B9286A"/>
    <w:rsid w:val="00B934B0"/>
    <w:rsid w:val="00BA0053"/>
    <w:rsid w:val="00BA3FAE"/>
    <w:rsid w:val="00BA6578"/>
    <w:rsid w:val="00BB0C63"/>
    <w:rsid w:val="00BB2071"/>
    <w:rsid w:val="00BB4BBC"/>
    <w:rsid w:val="00BB6FB3"/>
    <w:rsid w:val="00BB7899"/>
    <w:rsid w:val="00BC2097"/>
    <w:rsid w:val="00BC2721"/>
    <w:rsid w:val="00BD2024"/>
    <w:rsid w:val="00BD21D9"/>
    <w:rsid w:val="00BD2AB3"/>
    <w:rsid w:val="00BD2BF6"/>
    <w:rsid w:val="00BD36DF"/>
    <w:rsid w:val="00BE18AD"/>
    <w:rsid w:val="00BE2B96"/>
    <w:rsid w:val="00BE3095"/>
    <w:rsid w:val="00BE6AE1"/>
    <w:rsid w:val="00BF166C"/>
    <w:rsid w:val="00BF1A58"/>
    <w:rsid w:val="00BF43A7"/>
    <w:rsid w:val="00BF45FB"/>
    <w:rsid w:val="00C04A8E"/>
    <w:rsid w:val="00C0654C"/>
    <w:rsid w:val="00C17FAA"/>
    <w:rsid w:val="00C23A9C"/>
    <w:rsid w:val="00C27D95"/>
    <w:rsid w:val="00C30984"/>
    <w:rsid w:val="00C31004"/>
    <w:rsid w:val="00C31C8A"/>
    <w:rsid w:val="00C36715"/>
    <w:rsid w:val="00C45C41"/>
    <w:rsid w:val="00C508ED"/>
    <w:rsid w:val="00C51835"/>
    <w:rsid w:val="00C521D7"/>
    <w:rsid w:val="00C564F3"/>
    <w:rsid w:val="00C56D99"/>
    <w:rsid w:val="00C7332E"/>
    <w:rsid w:val="00C810ED"/>
    <w:rsid w:val="00C82B15"/>
    <w:rsid w:val="00C82CB4"/>
    <w:rsid w:val="00C9115D"/>
    <w:rsid w:val="00C92318"/>
    <w:rsid w:val="00CA3C6A"/>
    <w:rsid w:val="00CA4FAA"/>
    <w:rsid w:val="00CA7164"/>
    <w:rsid w:val="00CB1228"/>
    <w:rsid w:val="00CB1801"/>
    <w:rsid w:val="00CB654C"/>
    <w:rsid w:val="00CC1954"/>
    <w:rsid w:val="00CC2AFC"/>
    <w:rsid w:val="00CC36D4"/>
    <w:rsid w:val="00CC6C1C"/>
    <w:rsid w:val="00CD4F23"/>
    <w:rsid w:val="00CE31B6"/>
    <w:rsid w:val="00CF0FE9"/>
    <w:rsid w:val="00CF2C08"/>
    <w:rsid w:val="00CF3C45"/>
    <w:rsid w:val="00CF5059"/>
    <w:rsid w:val="00CF6F50"/>
    <w:rsid w:val="00D01526"/>
    <w:rsid w:val="00D05745"/>
    <w:rsid w:val="00D06BEB"/>
    <w:rsid w:val="00D10A8F"/>
    <w:rsid w:val="00D1178F"/>
    <w:rsid w:val="00D11AD6"/>
    <w:rsid w:val="00D11B23"/>
    <w:rsid w:val="00D1616C"/>
    <w:rsid w:val="00D233A0"/>
    <w:rsid w:val="00D237FD"/>
    <w:rsid w:val="00D26E01"/>
    <w:rsid w:val="00D273E1"/>
    <w:rsid w:val="00D27C77"/>
    <w:rsid w:val="00D30007"/>
    <w:rsid w:val="00D4575A"/>
    <w:rsid w:val="00D517CE"/>
    <w:rsid w:val="00D519EE"/>
    <w:rsid w:val="00D6474E"/>
    <w:rsid w:val="00D72152"/>
    <w:rsid w:val="00D73164"/>
    <w:rsid w:val="00D8106B"/>
    <w:rsid w:val="00D8435D"/>
    <w:rsid w:val="00D86194"/>
    <w:rsid w:val="00D87B86"/>
    <w:rsid w:val="00D90966"/>
    <w:rsid w:val="00D95598"/>
    <w:rsid w:val="00D96751"/>
    <w:rsid w:val="00DA081B"/>
    <w:rsid w:val="00DA44E9"/>
    <w:rsid w:val="00DA6426"/>
    <w:rsid w:val="00DA7263"/>
    <w:rsid w:val="00DB0715"/>
    <w:rsid w:val="00DB0E09"/>
    <w:rsid w:val="00DB27AE"/>
    <w:rsid w:val="00DB42F8"/>
    <w:rsid w:val="00DB5817"/>
    <w:rsid w:val="00DB72F9"/>
    <w:rsid w:val="00DC4670"/>
    <w:rsid w:val="00DD24A3"/>
    <w:rsid w:val="00DD5A6C"/>
    <w:rsid w:val="00DE0937"/>
    <w:rsid w:val="00DE0C4F"/>
    <w:rsid w:val="00DE7272"/>
    <w:rsid w:val="00DF0505"/>
    <w:rsid w:val="00DF563E"/>
    <w:rsid w:val="00DF7C80"/>
    <w:rsid w:val="00DF7E2B"/>
    <w:rsid w:val="00E007C0"/>
    <w:rsid w:val="00E061CE"/>
    <w:rsid w:val="00E072B3"/>
    <w:rsid w:val="00E13BF2"/>
    <w:rsid w:val="00E22C5D"/>
    <w:rsid w:val="00E24E25"/>
    <w:rsid w:val="00E404B4"/>
    <w:rsid w:val="00E40C57"/>
    <w:rsid w:val="00E4577E"/>
    <w:rsid w:val="00E45B0E"/>
    <w:rsid w:val="00E56BBE"/>
    <w:rsid w:val="00E57C82"/>
    <w:rsid w:val="00E63353"/>
    <w:rsid w:val="00E646B1"/>
    <w:rsid w:val="00E67C43"/>
    <w:rsid w:val="00E67E38"/>
    <w:rsid w:val="00E70001"/>
    <w:rsid w:val="00E75715"/>
    <w:rsid w:val="00E759F6"/>
    <w:rsid w:val="00E7714E"/>
    <w:rsid w:val="00E80D2A"/>
    <w:rsid w:val="00E9517B"/>
    <w:rsid w:val="00EA25A7"/>
    <w:rsid w:val="00EB1486"/>
    <w:rsid w:val="00EC1BAA"/>
    <w:rsid w:val="00EC6667"/>
    <w:rsid w:val="00ED3489"/>
    <w:rsid w:val="00EE2A55"/>
    <w:rsid w:val="00EE7BAB"/>
    <w:rsid w:val="00EF0F19"/>
    <w:rsid w:val="00EF22FC"/>
    <w:rsid w:val="00EF2D9D"/>
    <w:rsid w:val="00EF4E66"/>
    <w:rsid w:val="00EF67E0"/>
    <w:rsid w:val="00F03FB8"/>
    <w:rsid w:val="00F049E7"/>
    <w:rsid w:val="00F10EEC"/>
    <w:rsid w:val="00F13257"/>
    <w:rsid w:val="00F179F8"/>
    <w:rsid w:val="00F25323"/>
    <w:rsid w:val="00F31531"/>
    <w:rsid w:val="00F31EDF"/>
    <w:rsid w:val="00F32CB9"/>
    <w:rsid w:val="00F471F5"/>
    <w:rsid w:val="00F54384"/>
    <w:rsid w:val="00F57710"/>
    <w:rsid w:val="00F60A22"/>
    <w:rsid w:val="00F61DC3"/>
    <w:rsid w:val="00F62D4F"/>
    <w:rsid w:val="00F6343D"/>
    <w:rsid w:val="00F644F5"/>
    <w:rsid w:val="00F66EBE"/>
    <w:rsid w:val="00F74496"/>
    <w:rsid w:val="00F75E28"/>
    <w:rsid w:val="00F76D1F"/>
    <w:rsid w:val="00F77E83"/>
    <w:rsid w:val="00F80397"/>
    <w:rsid w:val="00F83FD7"/>
    <w:rsid w:val="00F91435"/>
    <w:rsid w:val="00F91F7E"/>
    <w:rsid w:val="00F97F10"/>
    <w:rsid w:val="00FA0CB9"/>
    <w:rsid w:val="00FA10D9"/>
    <w:rsid w:val="00FA118C"/>
    <w:rsid w:val="00FA1B86"/>
    <w:rsid w:val="00FB48DF"/>
    <w:rsid w:val="00FB5632"/>
    <w:rsid w:val="00FC3A56"/>
    <w:rsid w:val="00FD45B0"/>
    <w:rsid w:val="00FD582A"/>
    <w:rsid w:val="00FE3C28"/>
    <w:rsid w:val="00FE3D56"/>
    <w:rsid w:val="00FE451C"/>
    <w:rsid w:val="00FE46E0"/>
    <w:rsid w:val="00FF3F64"/>
    <w:rsid w:val="00FF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40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B292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6F358D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72F9"/>
    <w:pPr>
      <w:ind w:right="-286"/>
      <w:jc w:val="center"/>
    </w:pPr>
    <w:rPr>
      <w:b/>
      <w:bCs/>
      <w:sz w:val="32"/>
      <w:szCs w:val="32"/>
    </w:rPr>
  </w:style>
  <w:style w:type="character" w:customStyle="1" w:styleId="a4">
    <w:name w:val="Название Знак"/>
    <w:link w:val="a3"/>
    <w:rsid w:val="00DB72F9"/>
    <w:rPr>
      <w:rFonts w:ascii="Times New Roman" w:eastAsia="Times New Roman" w:hAnsi="Times New Roman"/>
      <w:b/>
      <w:bCs/>
      <w:sz w:val="32"/>
      <w:szCs w:val="32"/>
    </w:rPr>
  </w:style>
  <w:style w:type="paragraph" w:styleId="2">
    <w:name w:val="Body Text 2"/>
    <w:basedOn w:val="a"/>
    <w:link w:val="20"/>
    <w:rsid w:val="00DB72F9"/>
    <w:pPr>
      <w:spacing w:after="120" w:line="480" w:lineRule="auto"/>
    </w:pPr>
  </w:style>
  <w:style w:type="character" w:customStyle="1" w:styleId="20">
    <w:name w:val="Основной текст 2 Знак"/>
    <w:link w:val="2"/>
    <w:rsid w:val="00DB72F9"/>
    <w:rPr>
      <w:rFonts w:ascii="Times New Roman" w:eastAsia="Times New Roman" w:hAnsi="Times New Roman"/>
      <w:sz w:val="24"/>
      <w:szCs w:val="24"/>
    </w:rPr>
  </w:style>
  <w:style w:type="table" w:styleId="a5">
    <w:name w:val="Table Grid"/>
    <w:basedOn w:val="a1"/>
    <w:rsid w:val="00DB72F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6F358D"/>
    <w:pPr>
      <w:spacing w:after="120"/>
      <w:ind w:left="283"/>
    </w:pPr>
  </w:style>
  <w:style w:type="character" w:customStyle="1" w:styleId="a7">
    <w:name w:val="Основной текст с отступом Знак"/>
    <w:link w:val="a6"/>
    <w:rsid w:val="006F358D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rsid w:val="006F358D"/>
    <w:rPr>
      <w:rFonts w:ascii="Times New Roman" w:eastAsia="Times New Roman" w:hAnsi="Times New Roman"/>
      <w:b/>
      <w:bCs/>
      <w:sz w:val="28"/>
      <w:szCs w:val="28"/>
    </w:rPr>
  </w:style>
  <w:style w:type="paragraph" w:styleId="a8">
    <w:name w:val="footer"/>
    <w:basedOn w:val="a"/>
    <w:rsid w:val="0048097F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8097F"/>
  </w:style>
  <w:style w:type="paragraph" w:customStyle="1" w:styleId="ConsNormal">
    <w:name w:val="ConsNormal"/>
    <w:rsid w:val="00BE3095"/>
    <w:pPr>
      <w:widowControl w:val="0"/>
      <w:ind w:firstLine="720"/>
    </w:pPr>
    <w:rPr>
      <w:rFonts w:ascii="Times New Roman" w:eastAsia="Times New Roman" w:hAnsi="Times New Roman"/>
      <w:snapToGrid w:val="0"/>
      <w:sz w:val="24"/>
    </w:rPr>
  </w:style>
  <w:style w:type="paragraph" w:customStyle="1" w:styleId="CharCharCharCharCharCharCharChar">
    <w:name w:val="Char Char Знак Знак Char Char Знак Знак Char Char Знак Знак Char Char"/>
    <w:basedOn w:val="a"/>
    <w:rsid w:val="00A74B78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styleId="aa">
    <w:name w:val="Balloon Text"/>
    <w:basedOn w:val="a"/>
    <w:semiHidden/>
    <w:rsid w:val="0001068A"/>
    <w:rPr>
      <w:rFonts w:ascii="Tahoma" w:hAnsi="Tahoma" w:cs="Tahoma"/>
      <w:sz w:val="16"/>
      <w:szCs w:val="16"/>
    </w:rPr>
  </w:style>
  <w:style w:type="character" w:styleId="ab">
    <w:name w:val="annotation reference"/>
    <w:uiPriority w:val="99"/>
    <w:semiHidden/>
    <w:unhideWhenUsed/>
    <w:rsid w:val="00E24E2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E24E25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E24E25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E24E25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E24E25"/>
    <w:rPr>
      <w:rFonts w:ascii="Times New Roman" w:eastAsia="Times New Roman" w:hAnsi="Times New Roman"/>
      <w:b/>
      <w:bCs/>
    </w:rPr>
  </w:style>
  <w:style w:type="paragraph" w:styleId="af0">
    <w:name w:val="List Paragraph"/>
    <w:basedOn w:val="a"/>
    <w:uiPriority w:val="34"/>
    <w:qFormat/>
    <w:rsid w:val="005C745E"/>
    <w:pPr>
      <w:ind w:left="720"/>
      <w:contextualSpacing/>
    </w:pPr>
  </w:style>
  <w:style w:type="paragraph" w:styleId="af1">
    <w:name w:val="header"/>
    <w:basedOn w:val="a"/>
    <w:link w:val="af2"/>
    <w:uiPriority w:val="99"/>
    <w:semiHidden/>
    <w:unhideWhenUsed/>
    <w:rsid w:val="003347E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rsid w:val="003347E3"/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FE3D56"/>
    <w:pPr>
      <w:autoSpaceDE w:val="0"/>
      <w:autoSpaceDN w:val="0"/>
      <w:adjustRightInd w:val="0"/>
    </w:pPr>
    <w:rPr>
      <w:rFonts w:ascii="Cambria" w:hAnsi="Cambria" w:cs="Cambria"/>
      <w:b/>
      <w:bCs/>
      <w:sz w:val="24"/>
      <w:szCs w:val="24"/>
    </w:rPr>
  </w:style>
  <w:style w:type="paragraph" w:customStyle="1" w:styleId="NormalnTimes12AYbodytextTimes12Point10pointFlushleftGeneva1012pointFlushleftTimesFlushleftTimes10FlushleftTimes12JustifiedFlushLeftNormalproposalNormalpropPropmarginNormalmarginNorma">
    <w:name w:val="Normal.n.Times 12.AY body text.Times 12 Point.10 point.Flush left.Geneva 10.12 point.Flush left Times.Flush left Times  10.Flush left Times 12.Justified.Flush Left.Normal proposal.Normal prop.Prop margin.Normal margin.Norma"/>
    <w:rsid w:val="008E20F4"/>
    <w:pPr>
      <w:widowControl w:val="0"/>
      <w:tabs>
        <w:tab w:val="left" w:pos="620"/>
      </w:tabs>
      <w:overflowPunct w:val="0"/>
      <w:autoSpaceDE w:val="0"/>
      <w:autoSpaceDN w:val="0"/>
      <w:adjustRightInd w:val="0"/>
      <w:jc w:val="both"/>
      <w:textAlignment w:val="baseline"/>
    </w:pPr>
    <w:rPr>
      <w:rFonts w:ascii="Times" w:eastAsia="Times New Roman" w:hAnsi="Times"/>
      <w:sz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8B29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3">
    <w:name w:val="Plain Text"/>
    <w:basedOn w:val="a"/>
    <w:link w:val="af4"/>
    <w:uiPriority w:val="99"/>
    <w:semiHidden/>
    <w:unhideWhenUsed/>
    <w:rsid w:val="008B2927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4">
    <w:name w:val="Текст Знак"/>
    <w:basedOn w:val="a0"/>
    <w:link w:val="af3"/>
    <w:uiPriority w:val="99"/>
    <w:semiHidden/>
    <w:rsid w:val="008B2927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8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57A1B-1951-4A44-9E67-75F2DD5FC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2155</Words>
  <Characters>12287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</vt:lpstr>
    </vt:vector>
  </TitlesOfParts>
  <Company/>
  <LinksUpToDate>false</LinksUpToDate>
  <CharactersWithSpaces>14414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</dc:title>
  <dc:creator>zhukovskaya</dc:creator>
  <cp:lastModifiedBy>Savelyeva.OU</cp:lastModifiedBy>
  <cp:revision>10</cp:revision>
  <cp:lastPrinted>2018-03-19T12:02:00Z</cp:lastPrinted>
  <dcterms:created xsi:type="dcterms:W3CDTF">2018-03-29T09:32:00Z</dcterms:created>
  <dcterms:modified xsi:type="dcterms:W3CDTF">2019-03-28T11:48:00Z</dcterms:modified>
</cp:coreProperties>
</file>